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F4B03" w14:textId="39A79631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0A1878">
        <w:t>3</w:t>
      </w:r>
      <w:r w:rsidR="00CF4F41">
        <w:t>-e</w:t>
      </w:r>
      <w:r>
        <w:tab/>
      </w:r>
      <w:r w:rsidR="000D3A90" w:rsidRPr="000D3A90">
        <w:t>R1-2008931</w:t>
      </w:r>
    </w:p>
    <w:p w14:paraId="492457AB" w14:textId="109BDAA3" w:rsidR="00B0348E" w:rsidRPr="00CE0424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1F4942">
        <w:t>October</w:t>
      </w:r>
      <w:r w:rsidR="00D53AC8" w:rsidRPr="001E0F95">
        <w:t xml:space="preserve"> </w:t>
      </w:r>
      <w:r w:rsidR="001F4942">
        <w:t>26</w:t>
      </w:r>
      <w:r w:rsidR="005F6F14" w:rsidRPr="005F6F14">
        <w:rPr>
          <w:vertAlign w:val="superscript"/>
        </w:rPr>
        <w:t>th</w:t>
      </w:r>
      <w:r w:rsidR="00D53AC8" w:rsidRPr="001E0F95">
        <w:t xml:space="preserve"> – </w:t>
      </w:r>
      <w:r w:rsidR="001F4942">
        <w:t>November 13</w:t>
      </w:r>
      <w:r w:rsidR="005F6F14" w:rsidRPr="005F6F14">
        <w:rPr>
          <w:vertAlign w:val="superscript"/>
        </w:rPr>
        <w:t>th</w:t>
      </w:r>
      <w:proofErr w:type="gramStart"/>
      <w:r w:rsidR="00AF17BE">
        <w:t xml:space="preserve"> </w:t>
      </w:r>
      <w:r w:rsidR="00D53AC8" w:rsidRPr="001E0F95">
        <w:t>202</w:t>
      </w:r>
      <w:r w:rsidR="00BD79F6" w:rsidRPr="001E0F95">
        <w:t>0</w:t>
      </w:r>
      <w:proofErr w:type="gramEnd"/>
    </w:p>
    <w:p w14:paraId="60A5317D" w14:textId="77777777" w:rsidR="00E90E49" w:rsidRPr="00CE0424" w:rsidRDefault="00E90E49" w:rsidP="00357380">
      <w:pPr>
        <w:pStyle w:val="3GPPHeader"/>
      </w:pPr>
    </w:p>
    <w:p w14:paraId="3C6869D1" w14:textId="0CCBDC20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A73654">
        <w:rPr>
          <w:sz w:val="22"/>
          <w:szCs w:val="22"/>
          <w:lang w:val="en-US"/>
        </w:rPr>
        <w:t>Agenda Item:</w:t>
      </w:r>
      <w:r w:rsidRPr="00A73654">
        <w:rPr>
          <w:sz w:val="22"/>
          <w:szCs w:val="22"/>
          <w:lang w:val="en-US"/>
        </w:rPr>
        <w:tab/>
      </w:r>
      <w:r w:rsidR="001E0F95" w:rsidRPr="000D3A90">
        <w:rPr>
          <w:sz w:val="22"/>
          <w:szCs w:val="22"/>
          <w:lang w:val="en-US"/>
        </w:rPr>
        <w:t>8</w:t>
      </w:r>
      <w:r w:rsidR="00615904" w:rsidRPr="000D3A90">
        <w:rPr>
          <w:sz w:val="22"/>
          <w:szCs w:val="22"/>
          <w:lang w:val="en-US"/>
        </w:rPr>
        <w:t>.</w:t>
      </w:r>
      <w:r w:rsidR="001E0F95" w:rsidRPr="000D3A90">
        <w:rPr>
          <w:sz w:val="22"/>
          <w:szCs w:val="22"/>
          <w:lang w:val="en-US"/>
        </w:rPr>
        <w:t>9</w:t>
      </w:r>
      <w:r w:rsidR="00615904" w:rsidRPr="000D3A90">
        <w:rPr>
          <w:sz w:val="22"/>
          <w:szCs w:val="22"/>
          <w:lang w:val="en-US"/>
        </w:rPr>
        <w:t>.</w:t>
      </w:r>
      <w:r w:rsidR="001E0F95" w:rsidRPr="000D3A90">
        <w:rPr>
          <w:sz w:val="22"/>
          <w:szCs w:val="22"/>
          <w:lang w:val="en-US"/>
        </w:rPr>
        <w:t>2</w:t>
      </w:r>
    </w:p>
    <w:p w14:paraId="0CB055DD" w14:textId="6A94DE3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886D21">
        <w:rPr>
          <w:sz w:val="22"/>
          <w:szCs w:val="22"/>
        </w:rPr>
        <w:t>, Telefónica, Verizon</w:t>
      </w:r>
      <w:r w:rsidR="00AB6034">
        <w:rPr>
          <w:sz w:val="22"/>
          <w:szCs w:val="22"/>
        </w:rPr>
        <w:t>, SoftBank</w:t>
      </w:r>
      <w:r w:rsidR="00843AB6">
        <w:rPr>
          <w:sz w:val="22"/>
          <w:szCs w:val="22"/>
        </w:rPr>
        <w:t>, AT&amp;T</w:t>
      </w:r>
      <w:r w:rsidR="0082605F">
        <w:rPr>
          <w:sz w:val="22"/>
          <w:szCs w:val="22"/>
        </w:rPr>
        <w:t>, Telstra</w:t>
      </w:r>
    </w:p>
    <w:p w14:paraId="63DAB814" w14:textId="5629AC8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15904" w:rsidRPr="00615904">
        <w:rPr>
          <w:sz w:val="22"/>
          <w:szCs w:val="22"/>
        </w:rPr>
        <w:t>Support of 14</w:t>
      </w:r>
      <w:r w:rsidR="008B4088">
        <w:rPr>
          <w:sz w:val="22"/>
          <w:szCs w:val="22"/>
        </w:rPr>
        <w:t xml:space="preserve"> </w:t>
      </w:r>
      <w:r w:rsidR="00615904" w:rsidRPr="00615904">
        <w:rPr>
          <w:sz w:val="22"/>
          <w:szCs w:val="22"/>
        </w:rPr>
        <w:t>HARQ processes in DL in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4B31E981" w:rsidR="00770C89" w:rsidRPr="00D0713C" w:rsidRDefault="00A359F7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>In 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>Work Item (WI) on “</w:t>
      </w:r>
      <w:r w:rsidR="00540B70"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 w:rsidR="00FB4A6C" w:rsidRPr="00D0713C">
        <w:rPr>
          <w:rFonts w:ascii="Times New Roman" w:hAnsi="Times New Roman"/>
        </w:rPr>
        <w:fldChar w:fldCharType="begin"/>
      </w:r>
      <w:r w:rsidR="00FB4A6C" w:rsidRPr="00D0713C">
        <w:rPr>
          <w:rFonts w:ascii="Times New Roman" w:hAnsi="Times New Roman"/>
        </w:rPr>
        <w:instrText xml:space="preserve"> REF _Ref525929513 \n \h </w:instrText>
      </w:r>
      <w:r w:rsidR="00E36C2C" w:rsidRPr="00D0713C">
        <w:rPr>
          <w:rFonts w:ascii="Times New Roman" w:hAnsi="Times New Roman"/>
        </w:rPr>
        <w:instrText xml:space="preserve"> \* MERGEFORMAT </w:instrText>
      </w:r>
      <w:r w:rsidR="00FB4A6C" w:rsidRPr="00D0713C">
        <w:rPr>
          <w:rFonts w:ascii="Times New Roman" w:hAnsi="Times New Roman"/>
        </w:rPr>
      </w:r>
      <w:r w:rsidR="00FB4A6C" w:rsidRPr="00D0713C">
        <w:rPr>
          <w:rFonts w:ascii="Times New Roman" w:hAnsi="Times New Roman"/>
        </w:rPr>
        <w:fldChar w:fldCharType="separate"/>
      </w:r>
      <w:r w:rsidR="00FB4A6C" w:rsidRPr="00D0713C">
        <w:rPr>
          <w:rFonts w:ascii="Times New Roman" w:hAnsi="Times New Roman"/>
        </w:rPr>
        <w:t>[1]</w:t>
      </w:r>
      <w:r w:rsidR="00FB4A6C" w:rsidRPr="00D0713C">
        <w:rPr>
          <w:rFonts w:ascii="Times New Roman" w:hAnsi="Times New Roman"/>
        </w:rPr>
        <w:fldChar w:fldCharType="end"/>
      </w:r>
      <w:r w:rsidR="00FB4A6C" w:rsidRPr="00D0713C">
        <w:rPr>
          <w:rFonts w:ascii="Times New Roman" w:hAnsi="Times New Roman"/>
        </w:rPr>
        <w:t>,</w:t>
      </w:r>
      <w:r w:rsidR="00DE0F8B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 xml:space="preserve">one </w:t>
      </w:r>
      <w:r w:rsidR="00DE0F8B" w:rsidRPr="00D0713C">
        <w:rPr>
          <w:rFonts w:ascii="Times New Roman" w:hAnsi="Times New Roman"/>
        </w:rPr>
        <w:t xml:space="preserve">of the </w:t>
      </w:r>
      <w:r w:rsidR="00770C89" w:rsidRPr="00D0713C">
        <w:rPr>
          <w:rFonts w:ascii="Times New Roman" w:hAnsi="Times New Roman"/>
        </w:rPr>
        <w:t>objective</w:t>
      </w:r>
      <w:r w:rsidR="00DE0F8B" w:rsidRPr="00D0713C">
        <w:rPr>
          <w:rFonts w:ascii="Times New Roman" w:hAnsi="Times New Roman"/>
        </w:rPr>
        <w:t>s</w:t>
      </w:r>
      <w:r w:rsidR="00770C89" w:rsidRPr="00D0713C">
        <w:rPr>
          <w:rFonts w:ascii="Times New Roman" w:hAnsi="Times New Roman"/>
        </w:rPr>
        <w:t xml:space="preserve"> is to specify the following </w:t>
      </w:r>
      <w:r w:rsidR="00011D2B">
        <w:rPr>
          <w:rFonts w:ascii="Times New Roman" w:hAnsi="Times New Roman"/>
        </w:rPr>
        <w:t xml:space="preserve">enhancement </w:t>
      </w:r>
      <w:r w:rsidR="00770C89" w:rsidRPr="00D0713C">
        <w:rPr>
          <w:rFonts w:ascii="Times New Roman" w:hAnsi="Times New Roman"/>
        </w:rPr>
        <w:t xml:space="preserve">for </w:t>
      </w:r>
      <w:r w:rsidR="00615904">
        <w:rPr>
          <w:rFonts w:ascii="Times New Roman" w:hAnsi="Times New Roman"/>
        </w:rPr>
        <w:t>LTE-MTC</w:t>
      </w:r>
      <w:r w:rsidR="00770C89" w:rsidRPr="00D0713C">
        <w:rPr>
          <w:rFonts w:ascii="Times New Roman" w:hAnsi="Times New Roman"/>
        </w:rPr>
        <w:t>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770C89" w14:paraId="6FF1884E" w14:textId="77777777" w:rsidTr="00615904">
        <w:trPr>
          <w:trHeight w:val="564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FA0D" w14:textId="6374B810" w:rsidR="00B74A08" w:rsidRPr="00615904" w:rsidRDefault="00615904" w:rsidP="00615904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DengXian" w:hAnsi="Times New Roman"/>
                <w:sz w:val="18"/>
                <w:lang w:val="en-US" w:eastAsia="zh-CN"/>
              </w:rPr>
            </w:pPr>
            <w:bookmarkStart w:id="0" w:name="_Hlk31052369"/>
            <w:r w:rsidRPr="004330AB">
              <w:rPr>
                <w:rFonts w:ascii="Times New Roman" w:eastAsia="DengXian" w:hAnsi="Times New Roman"/>
                <w:sz w:val="20"/>
                <w:szCs w:val="24"/>
                <w:lang w:val="en-US" w:eastAsia="zh-CN"/>
              </w:rPr>
              <w:t xml:space="preserve">Support additional PDSCH scheduling delay for introduction of 14-HARQ processes in DL, for </w:t>
            </w:r>
            <w:bookmarkStart w:id="1" w:name="_Hlk31108863"/>
            <w:r w:rsidRPr="004330AB">
              <w:rPr>
                <w:rFonts w:ascii="Times New Roman" w:eastAsia="DengXian" w:hAnsi="Times New Roman"/>
                <w:sz w:val="20"/>
                <w:szCs w:val="24"/>
                <w:lang w:val="en-US" w:eastAsia="zh-CN"/>
              </w:rPr>
              <w:t>HD-FDD Cat M1 UEs</w:t>
            </w:r>
            <w:bookmarkEnd w:id="0"/>
            <w:bookmarkEnd w:id="1"/>
            <w:r w:rsidRPr="004330AB">
              <w:rPr>
                <w:rFonts w:ascii="Times New Roman" w:eastAsia="DengXian" w:hAnsi="Times New Roman"/>
                <w:sz w:val="20"/>
                <w:szCs w:val="24"/>
                <w:lang w:val="en-US" w:eastAsia="zh-CN"/>
              </w:rPr>
              <w:t>. [LTE-MTC] [RAN1]</w:t>
            </w:r>
          </w:p>
        </w:tc>
      </w:tr>
    </w:tbl>
    <w:p w14:paraId="2AF049EA" w14:textId="77777777" w:rsidR="00615904" w:rsidRDefault="00615904" w:rsidP="00770C89">
      <w:pPr>
        <w:pStyle w:val="BodyText"/>
        <w:rPr>
          <w:rFonts w:ascii="Times New Roman" w:hAnsi="Times New Roman"/>
        </w:rPr>
      </w:pPr>
    </w:p>
    <w:p w14:paraId="11984A22" w14:textId="5CC0FA28" w:rsidR="00D26182" w:rsidRDefault="009E2563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 xml:space="preserve">In </w:t>
      </w:r>
      <w:r w:rsidR="00D26182">
        <w:rPr>
          <w:rFonts w:ascii="Times New Roman" w:hAnsi="Times New Roman"/>
        </w:rPr>
        <w:t>RAN1 #102e, the following agreements were made [</w:t>
      </w:r>
      <w:r w:rsidR="002A6804">
        <w:rPr>
          <w:rFonts w:ascii="Times New Roman" w:hAnsi="Times New Roman"/>
        </w:rPr>
        <w:t>2</w:t>
      </w:r>
      <w:r w:rsidR="00D26182">
        <w:rPr>
          <w:rFonts w:ascii="Times New Roman" w:hAnsi="Times New Roman"/>
        </w:rPr>
        <w:t>].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26182" w14:paraId="637A73FE" w14:textId="77777777" w:rsidTr="00D26182">
        <w:tc>
          <w:tcPr>
            <w:tcW w:w="4814" w:type="dxa"/>
          </w:tcPr>
          <w:p w14:paraId="7381E040" w14:textId="77777777" w:rsidR="00D26182" w:rsidRPr="00D26182" w:rsidRDefault="00D26182" w:rsidP="00D26182">
            <w:pPr>
              <w:jc w:val="both"/>
              <w:rPr>
                <w:b/>
                <w:bCs/>
                <w:sz w:val="20"/>
                <w:szCs w:val="18"/>
                <w:highlight w:val="green"/>
              </w:rPr>
            </w:pPr>
            <w:r w:rsidRPr="00D26182">
              <w:rPr>
                <w:b/>
                <w:bCs/>
                <w:sz w:val="20"/>
                <w:szCs w:val="18"/>
                <w:highlight w:val="green"/>
              </w:rPr>
              <w:t>Agreement</w:t>
            </w:r>
          </w:p>
          <w:p w14:paraId="5884F07C" w14:textId="77777777" w:rsidR="00D26182" w:rsidRPr="00D26182" w:rsidRDefault="00D26182" w:rsidP="00D26182">
            <w:pPr>
              <w:jc w:val="both"/>
              <w:rPr>
                <w:sz w:val="20"/>
                <w:szCs w:val="18"/>
              </w:rPr>
            </w:pPr>
            <w:r w:rsidRPr="00D26182">
              <w:rPr>
                <w:sz w:val="20"/>
                <w:szCs w:val="18"/>
              </w:rPr>
              <w:t xml:space="preserve">For a UE configured with 14 HARQ processes, a PDSCH scheduling delay of 2 BL/CE DL subframes and 7 [FFS subframes type(s)] is supported at least </w:t>
            </w:r>
            <w:bookmarkStart w:id="2" w:name="_Hlk49860708"/>
            <w:r w:rsidRPr="00D26182">
              <w:rPr>
                <w:sz w:val="20"/>
                <w:szCs w:val="18"/>
              </w:rPr>
              <w:t>in the PUCCH non-repetition case</w:t>
            </w:r>
            <w:bookmarkEnd w:id="2"/>
            <w:r w:rsidRPr="00D26182">
              <w:rPr>
                <w:sz w:val="20"/>
                <w:szCs w:val="18"/>
              </w:rPr>
              <w:t>:</w:t>
            </w:r>
          </w:p>
          <w:p w14:paraId="7F0A9AFC" w14:textId="77777777" w:rsidR="00D26182" w:rsidRPr="00D26182" w:rsidRDefault="00D26182" w:rsidP="00D2618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18"/>
              </w:rPr>
            </w:pPr>
            <w:r w:rsidRPr="00D26182">
              <w:rPr>
                <w:sz w:val="20"/>
                <w:szCs w:val="18"/>
              </w:rPr>
              <w:t>FFS details of signaling.</w:t>
            </w:r>
          </w:p>
          <w:p w14:paraId="54E8C2DC" w14:textId="77777777" w:rsidR="00D26182" w:rsidRPr="00D26182" w:rsidRDefault="00D26182" w:rsidP="00D2618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18"/>
              </w:rPr>
            </w:pPr>
            <w:r w:rsidRPr="00D26182">
              <w:rPr>
                <w:sz w:val="20"/>
                <w:szCs w:val="18"/>
              </w:rPr>
              <w:t>FFS other delay values to account for the presence of non-BL/CE subframes in the PUCCH non-repetition case.</w:t>
            </w:r>
          </w:p>
          <w:p w14:paraId="18D769B1" w14:textId="77777777" w:rsidR="00D26182" w:rsidRDefault="00D26182" w:rsidP="00D2618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18"/>
              </w:rPr>
            </w:pPr>
            <w:r w:rsidRPr="00D26182">
              <w:rPr>
                <w:sz w:val="20"/>
                <w:szCs w:val="18"/>
              </w:rPr>
              <w:t>FFS if the 14 HARQ processes feature is supported in PUCCH repetition case.</w:t>
            </w:r>
          </w:p>
          <w:p w14:paraId="747571D5" w14:textId="202DD1D4" w:rsidR="00D26182" w:rsidRPr="00D26182" w:rsidRDefault="00D26182" w:rsidP="00D26182">
            <w:pPr>
              <w:overflowPunct/>
              <w:autoSpaceDE/>
              <w:autoSpaceDN/>
              <w:adjustRightInd/>
              <w:spacing w:after="0"/>
              <w:ind w:left="720"/>
              <w:jc w:val="both"/>
              <w:textAlignment w:val="auto"/>
              <w:rPr>
                <w:sz w:val="20"/>
                <w:szCs w:val="18"/>
              </w:rPr>
            </w:pPr>
          </w:p>
        </w:tc>
        <w:tc>
          <w:tcPr>
            <w:tcW w:w="4815" w:type="dxa"/>
          </w:tcPr>
          <w:p w14:paraId="12EA7DAF" w14:textId="77777777" w:rsidR="00D26182" w:rsidRPr="00D26182" w:rsidRDefault="00D26182" w:rsidP="00D26182">
            <w:pPr>
              <w:jc w:val="both"/>
              <w:rPr>
                <w:b/>
                <w:bCs/>
                <w:sz w:val="20"/>
                <w:szCs w:val="20"/>
                <w:highlight w:val="green"/>
              </w:rPr>
            </w:pPr>
            <w:r w:rsidRPr="00D26182">
              <w:rPr>
                <w:b/>
                <w:bCs/>
                <w:sz w:val="20"/>
                <w:szCs w:val="20"/>
                <w:highlight w:val="green"/>
              </w:rPr>
              <w:t xml:space="preserve">Agreement </w:t>
            </w:r>
          </w:p>
          <w:p w14:paraId="48E458AC" w14:textId="77777777" w:rsidR="00D26182" w:rsidRPr="00D26182" w:rsidRDefault="00D26182" w:rsidP="00D26182">
            <w:pPr>
              <w:jc w:val="both"/>
              <w:rPr>
                <w:sz w:val="20"/>
                <w:szCs w:val="20"/>
              </w:rPr>
            </w:pPr>
            <w:r w:rsidRPr="00D26182">
              <w:rPr>
                <w:sz w:val="20"/>
                <w:szCs w:val="20"/>
              </w:rPr>
              <w:t xml:space="preserve">Introduce a new RRC configuration parameter to enable 14 HARQ processes. </w:t>
            </w:r>
          </w:p>
          <w:p w14:paraId="697B3C39" w14:textId="77777777" w:rsidR="00D26182" w:rsidRPr="00D26182" w:rsidRDefault="00D26182" w:rsidP="00D26182">
            <w:pPr>
              <w:jc w:val="both"/>
              <w:rPr>
                <w:b/>
                <w:bCs/>
                <w:sz w:val="20"/>
                <w:szCs w:val="20"/>
                <w:highlight w:val="darkYellow"/>
              </w:rPr>
            </w:pPr>
            <w:r w:rsidRPr="00D26182">
              <w:rPr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54F2036E" w14:textId="37C250C4" w:rsidR="00D26182" w:rsidRPr="00D26182" w:rsidRDefault="00D26182" w:rsidP="00D26182">
            <w:pPr>
              <w:jc w:val="both"/>
              <w:rPr>
                <w:sz w:val="20"/>
                <w:szCs w:val="20"/>
              </w:rPr>
            </w:pPr>
            <w:r w:rsidRPr="00D26182">
              <w:rPr>
                <w:sz w:val="20"/>
                <w:szCs w:val="20"/>
              </w:rPr>
              <w:t>Introduce a new optional UE capability to support 14 HARQ processes</w:t>
            </w:r>
          </w:p>
        </w:tc>
      </w:tr>
    </w:tbl>
    <w:p w14:paraId="093E9819" w14:textId="77777777" w:rsidR="00D26182" w:rsidRDefault="00D26182" w:rsidP="00770C89">
      <w:pPr>
        <w:pStyle w:val="BodyText"/>
        <w:rPr>
          <w:rFonts w:ascii="Times New Roman" w:hAnsi="Times New Roman"/>
        </w:rPr>
      </w:pPr>
    </w:p>
    <w:p w14:paraId="29D9C9F2" w14:textId="742DAC48" w:rsidR="00491CCD" w:rsidRDefault="00491CCD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</w:t>
      </w:r>
      <w:r w:rsidR="009D037C">
        <w:rPr>
          <w:rFonts w:ascii="Times New Roman" w:hAnsi="Times New Roman"/>
        </w:rPr>
        <w:t>his contribution we provide our view</w:t>
      </w:r>
      <w:r w:rsidR="009664BF">
        <w:rPr>
          <w:rFonts w:ascii="Times New Roman" w:hAnsi="Times New Roman"/>
        </w:rPr>
        <w:t xml:space="preserve"> on </w:t>
      </w:r>
      <w:r>
        <w:rPr>
          <w:rFonts w:ascii="Times New Roman" w:hAnsi="Times New Roman"/>
        </w:rPr>
        <w:t>the technical aspects that have been le</w:t>
      </w:r>
      <w:r w:rsidR="00C82D50">
        <w:rPr>
          <w:rFonts w:ascii="Times New Roman" w:hAnsi="Times New Roman"/>
        </w:rPr>
        <w:t>f</w:t>
      </w:r>
      <w:r>
        <w:rPr>
          <w:rFonts w:ascii="Times New Roman" w:hAnsi="Times New Roman"/>
        </w:rPr>
        <w:t>t for further study (FFS) in RAN1 #102</w:t>
      </w:r>
      <w:r w:rsidR="00FA4524">
        <w:rPr>
          <w:rFonts w:ascii="Times New Roman" w:hAnsi="Times New Roman"/>
        </w:rPr>
        <w:t>e</w:t>
      </w:r>
      <w:r w:rsidR="002A6804">
        <w:rPr>
          <w:rFonts w:ascii="Times New Roman" w:hAnsi="Times New Roman"/>
        </w:rPr>
        <w:t xml:space="preserve"> [2]</w:t>
      </w:r>
      <w:r>
        <w:rPr>
          <w:rFonts w:ascii="Times New Roman" w:hAnsi="Times New Roman"/>
        </w:rPr>
        <w:t>. In addition, we touch upon other fundamental aspects not discussed yet</w:t>
      </w:r>
      <w:r w:rsidR="00BE3F80">
        <w:rPr>
          <w:rFonts w:ascii="Times New Roman" w:hAnsi="Times New Roman"/>
        </w:rPr>
        <w:t xml:space="preserve"> (e.g., HARQ ACK delays)</w:t>
      </w:r>
      <w:r>
        <w:rPr>
          <w:rFonts w:ascii="Times New Roman" w:hAnsi="Times New Roman"/>
        </w:rPr>
        <w:t xml:space="preserve"> which are needed to support the 14 HARQ process in DL.</w:t>
      </w:r>
      <w:r w:rsidR="00977D45">
        <w:rPr>
          <w:rFonts w:ascii="Times New Roman" w:hAnsi="Times New Roman"/>
        </w:rPr>
        <w:t xml:space="preserve"> Following the notation in the agreements, the term “non-BL/CE subframes</w:t>
      </w:r>
      <w:r w:rsidR="00C927BC">
        <w:rPr>
          <w:rFonts w:ascii="Times New Roman" w:hAnsi="Times New Roman"/>
        </w:rPr>
        <w:t>”</w:t>
      </w:r>
      <w:r w:rsidR="00977D45">
        <w:rPr>
          <w:rFonts w:ascii="Times New Roman" w:hAnsi="Times New Roman"/>
        </w:rPr>
        <w:t xml:space="preserve"> encompasses both “non-BL/CE DL subframes” and “non-BL/CE UL subframes”.</w:t>
      </w:r>
    </w:p>
    <w:p w14:paraId="020415C4" w14:textId="1B026A36" w:rsidR="004000E8" w:rsidRDefault="00230D18" w:rsidP="00CE0424">
      <w:pPr>
        <w:pStyle w:val="Heading1"/>
      </w:pPr>
      <w:bookmarkStart w:id="3" w:name="_Ref178064866"/>
      <w:bookmarkStart w:id="4" w:name="_Hlk528365764"/>
      <w:r>
        <w:t>2</w:t>
      </w:r>
      <w:r>
        <w:tab/>
      </w:r>
      <w:bookmarkEnd w:id="3"/>
      <w:r w:rsidR="009664BF">
        <w:t xml:space="preserve">Support </w:t>
      </w:r>
      <w:r w:rsidR="00253EB4">
        <w:t>of 14</w:t>
      </w:r>
      <w:r w:rsidR="00900937">
        <w:t xml:space="preserve"> </w:t>
      </w:r>
      <w:r w:rsidR="00253EB4">
        <w:t>HARQ processes</w:t>
      </w:r>
      <w:r w:rsidR="009664BF">
        <w:t xml:space="preserve"> in DL</w:t>
      </w:r>
    </w:p>
    <w:bookmarkEnd w:id="4"/>
    <w:p w14:paraId="72E242F6" w14:textId="0FC06BA3" w:rsidR="003D3111" w:rsidRDefault="003D3111" w:rsidP="003D3111">
      <w:pPr>
        <w:pStyle w:val="Heading2"/>
      </w:pPr>
      <w:r>
        <w:t>2.1</w:t>
      </w:r>
      <w:r>
        <w:tab/>
      </w:r>
      <w:bookmarkStart w:id="5" w:name="_Hlk49935786"/>
      <w:r w:rsidR="00491CCD">
        <w:t xml:space="preserve">14 </w:t>
      </w:r>
      <w:r w:rsidR="0076200E">
        <w:t>HARQ processes</w:t>
      </w:r>
      <w:r w:rsidR="00491CCD">
        <w:t xml:space="preserve"> </w:t>
      </w:r>
      <w:r w:rsidR="00BE3F80">
        <w:t xml:space="preserve">– Ideal Scenario </w:t>
      </w:r>
      <w:r w:rsidR="00BE3F80" w:rsidRPr="00BE3F80">
        <w:rPr>
          <w:sz w:val="24"/>
          <w:szCs w:val="16"/>
        </w:rPr>
        <w:t>(</w:t>
      </w:r>
      <w:r w:rsidR="005A2EA1">
        <w:rPr>
          <w:sz w:val="24"/>
          <w:szCs w:val="16"/>
        </w:rPr>
        <w:t>A</w:t>
      </w:r>
      <w:r w:rsidR="00BE3F80" w:rsidRPr="00BE3F80">
        <w:rPr>
          <w:sz w:val="24"/>
          <w:szCs w:val="16"/>
        </w:rPr>
        <w:t xml:space="preserve">ll subframes </w:t>
      </w:r>
      <w:r w:rsidR="005A2EA1">
        <w:rPr>
          <w:sz w:val="24"/>
          <w:szCs w:val="16"/>
        </w:rPr>
        <w:t xml:space="preserve">are </w:t>
      </w:r>
      <w:r w:rsidR="00BE3F80" w:rsidRPr="00BE3F80">
        <w:rPr>
          <w:sz w:val="24"/>
          <w:szCs w:val="16"/>
        </w:rPr>
        <w:t>valid</w:t>
      </w:r>
      <w:r w:rsidR="005A2EA1">
        <w:rPr>
          <w:sz w:val="24"/>
          <w:szCs w:val="16"/>
        </w:rPr>
        <w:t xml:space="preserve"> and there are no PUCCH repetitions</w:t>
      </w:r>
      <w:r w:rsidR="00BE3F80" w:rsidRPr="00BE3F80">
        <w:rPr>
          <w:sz w:val="24"/>
          <w:szCs w:val="16"/>
        </w:rPr>
        <w:t>)</w:t>
      </w:r>
      <w:bookmarkEnd w:id="5"/>
    </w:p>
    <w:p w14:paraId="76F46248" w14:textId="4BCDBBC3" w:rsidR="00306B43" w:rsidRDefault="00306B43" w:rsidP="00253EB4">
      <w:pPr>
        <w:jc w:val="both"/>
      </w:pPr>
      <w:r w:rsidRPr="00306B43">
        <w:t>The WID’s objective for LTE-MTC targets HD-FDD Cat</w:t>
      </w:r>
      <w:r w:rsidR="007C6279">
        <w:t>-</w:t>
      </w:r>
      <w:r w:rsidRPr="00306B43">
        <w:t xml:space="preserve">M1 UEs, </w:t>
      </w:r>
      <w:r w:rsidR="00BE3F80">
        <w:t>where a new</w:t>
      </w:r>
      <w:r w:rsidRPr="00306B43">
        <w:t xml:space="preserve"> peak data rate</w:t>
      </w:r>
      <w:r w:rsidR="00BE3F80">
        <w:t xml:space="preserve"> around </w:t>
      </w:r>
      <w:bookmarkStart w:id="6" w:name="_Hlk49936942"/>
      <w:r w:rsidR="001C32EE" w:rsidRPr="001C32EE">
        <w:t>706</w:t>
      </w:r>
      <w:r w:rsidR="00645786">
        <w:t xml:space="preserve"> </w:t>
      </w:r>
      <w:r w:rsidR="00DC410E">
        <w:t>K</w:t>
      </w:r>
      <w:r w:rsidR="001C32EE" w:rsidRPr="001C32EE">
        <w:t>bps</w:t>
      </w:r>
      <w:bookmarkEnd w:id="6"/>
      <w:r w:rsidRPr="00306B43">
        <w:t xml:space="preserve"> </w:t>
      </w:r>
      <w:r w:rsidR="00BE3F80">
        <w:t>is intended to</w:t>
      </w:r>
      <w:r>
        <w:t xml:space="preserve"> be</w:t>
      </w:r>
      <w:r w:rsidRPr="00306B43">
        <w:t xml:space="preserve"> achieved </w:t>
      </w:r>
      <w:r>
        <w:t>through</w:t>
      </w:r>
      <w:r w:rsidRPr="00306B43">
        <w:t xml:space="preserve"> the combined us</w:t>
      </w:r>
      <w:r>
        <w:t>ag</w:t>
      </w:r>
      <w:r w:rsidRPr="00306B43">
        <w:t>e of 1</w:t>
      </w:r>
      <w:r w:rsidR="00BE3F80">
        <w:t>4</w:t>
      </w:r>
      <w:r w:rsidRPr="00306B43">
        <w:t xml:space="preserve"> HARQ processes and HARQ-ACK bundling</w:t>
      </w:r>
      <w:r w:rsidR="001C32EE">
        <w:t xml:space="preserve"> </w:t>
      </w:r>
      <w:r w:rsidR="00381A54">
        <w:t xml:space="preserve">as depicted </w:t>
      </w:r>
      <w:r w:rsidR="006E1BB2">
        <w:t>in Table 1</w:t>
      </w:r>
      <w:r>
        <w:t>.</w:t>
      </w:r>
    </w:p>
    <w:p w14:paraId="6D1B053A" w14:textId="51360E3A" w:rsidR="00B640C4" w:rsidRPr="00A82237" w:rsidRDefault="00B640C4" w:rsidP="00B640C4">
      <w:pPr>
        <w:keepNext/>
        <w:keepLines/>
        <w:jc w:val="center"/>
        <w:rPr>
          <w:b/>
        </w:rPr>
      </w:pPr>
      <w:r w:rsidRPr="00A82237">
        <w:rPr>
          <w:b/>
        </w:rPr>
        <w:lastRenderedPageBreak/>
        <w:t xml:space="preserve">Table </w:t>
      </w:r>
      <w:r w:rsidR="00BE3F80" w:rsidRPr="00A82237">
        <w:rPr>
          <w:b/>
        </w:rPr>
        <w:t>1</w:t>
      </w:r>
      <w:r w:rsidRPr="00A82237">
        <w:rPr>
          <w:b/>
        </w:rPr>
        <w:t>: Combined usage of 1</w:t>
      </w:r>
      <w:r w:rsidR="008B2A89" w:rsidRPr="00A82237">
        <w:rPr>
          <w:b/>
        </w:rPr>
        <w:t>4</w:t>
      </w:r>
      <w:r w:rsidRPr="00A82237">
        <w:rPr>
          <w:b/>
        </w:rPr>
        <w:t xml:space="preserve"> HARQ processes and </w:t>
      </w:r>
      <w:bookmarkStart w:id="7" w:name="_Hlk31206894"/>
      <w:r w:rsidRPr="00A82237">
        <w:rPr>
          <w:b/>
        </w:rPr>
        <w:t xml:space="preserve">HARQ-ACK bundling </w:t>
      </w:r>
      <w:bookmarkEnd w:id="7"/>
      <w:r w:rsidRPr="00A82237">
        <w:rPr>
          <w:b/>
        </w:rPr>
        <w:t>for a Cat</w:t>
      </w:r>
      <w:r w:rsidR="007C6279" w:rsidRPr="00A82237">
        <w:rPr>
          <w:b/>
        </w:rPr>
        <w:t>-</w:t>
      </w:r>
      <w:r w:rsidRPr="00A82237">
        <w:rPr>
          <w:b/>
        </w:rPr>
        <w:t>M1 HD-FDD UE.</w:t>
      </w:r>
    </w:p>
    <w:tbl>
      <w:tblPr>
        <w:tblStyle w:val="TableGrid"/>
        <w:tblW w:w="10184" w:type="dxa"/>
        <w:tblLook w:val="04A0" w:firstRow="1" w:lastRow="0" w:firstColumn="1" w:lastColumn="0" w:noHBand="0" w:noVBand="1"/>
      </w:tblPr>
      <w:tblGrid>
        <w:gridCol w:w="720"/>
        <w:gridCol w:w="344"/>
        <w:gridCol w:w="344"/>
        <w:gridCol w:w="280"/>
        <w:gridCol w:w="280"/>
        <w:gridCol w:w="280"/>
        <w:gridCol w:w="280"/>
        <w:gridCol w:w="344"/>
        <w:gridCol w:w="280"/>
        <w:gridCol w:w="280"/>
        <w:gridCol w:w="280"/>
        <w:gridCol w:w="344"/>
        <w:gridCol w:w="344"/>
        <w:gridCol w:w="344"/>
        <w:gridCol w:w="414"/>
        <w:gridCol w:w="350"/>
        <w:gridCol w:w="350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</w:tblGrid>
      <w:tr w:rsidR="00B640C4" w14:paraId="3FA55D85" w14:textId="77777777" w:rsidTr="00F35DDA">
        <w:tc>
          <w:tcPr>
            <w:tcW w:w="720" w:type="dxa"/>
          </w:tcPr>
          <w:p w14:paraId="40A476CF" w14:textId="77777777" w:rsidR="00B640C4" w:rsidRPr="00381A54" w:rsidRDefault="00B640C4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Subframe #</w:t>
            </w:r>
          </w:p>
        </w:tc>
        <w:tc>
          <w:tcPr>
            <w:tcW w:w="344" w:type="dxa"/>
          </w:tcPr>
          <w:p w14:paraId="006EBD0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3356FA4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2ACD5BBA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2344C84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20C4E60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3CB8CD7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18AFB55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27CCE86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7AFCA5C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4970FF36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FBA9B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AB797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11</w:t>
            </w:r>
          </w:p>
        </w:tc>
        <w:tc>
          <w:tcPr>
            <w:tcW w:w="0" w:type="auto"/>
          </w:tcPr>
          <w:p w14:paraId="385EF6B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</w:tcPr>
          <w:p w14:paraId="2E2A837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13</w:t>
            </w:r>
          </w:p>
        </w:tc>
        <w:tc>
          <w:tcPr>
            <w:tcW w:w="0" w:type="auto"/>
          </w:tcPr>
          <w:p w14:paraId="3002820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14</w:t>
            </w:r>
          </w:p>
        </w:tc>
        <w:tc>
          <w:tcPr>
            <w:tcW w:w="0" w:type="auto"/>
          </w:tcPr>
          <w:p w14:paraId="6B428AB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15</w:t>
            </w:r>
          </w:p>
        </w:tc>
        <w:tc>
          <w:tcPr>
            <w:tcW w:w="0" w:type="auto"/>
          </w:tcPr>
          <w:p w14:paraId="72D1C38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16</w:t>
            </w:r>
          </w:p>
        </w:tc>
        <w:tc>
          <w:tcPr>
            <w:tcW w:w="0" w:type="auto"/>
          </w:tcPr>
          <w:p w14:paraId="74474C3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17</w:t>
            </w:r>
          </w:p>
        </w:tc>
        <w:tc>
          <w:tcPr>
            <w:tcW w:w="0" w:type="auto"/>
          </w:tcPr>
          <w:p w14:paraId="6E44A88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18</w:t>
            </w:r>
          </w:p>
        </w:tc>
        <w:tc>
          <w:tcPr>
            <w:tcW w:w="0" w:type="auto"/>
          </w:tcPr>
          <w:p w14:paraId="5B026AA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19</w:t>
            </w:r>
          </w:p>
        </w:tc>
        <w:tc>
          <w:tcPr>
            <w:tcW w:w="0" w:type="auto"/>
          </w:tcPr>
          <w:p w14:paraId="06C2959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20</w:t>
            </w:r>
          </w:p>
        </w:tc>
        <w:tc>
          <w:tcPr>
            <w:tcW w:w="0" w:type="auto"/>
          </w:tcPr>
          <w:p w14:paraId="71F24EB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21</w:t>
            </w:r>
          </w:p>
        </w:tc>
        <w:tc>
          <w:tcPr>
            <w:tcW w:w="0" w:type="auto"/>
          </w:tcPr>
          <w:p w14:paraId="77C1F86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22</w:t>
            </w:r>
          </w:p>
        </w:tc>
        <w:tc>
          <w:tcPr>
            <w:tcW w:w="0" w:type="auto"/>
          </w:tcPr>
          <w:p w14:paraId="6762628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23</w:t>
            </w:r>
          </w:p>
        </w:tc>
        <w:tc>
          <w:tcPr>
            <w:tcW w:w="0" w:type="auto"/>
          </w:tcPr>
          <w:p w14:paraId="4469AA6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24</w:t>
            </w:r>
          </w:p>
        </w:tc>
        <w:tc>
          <w:tcPr>
            <w:tcW w:w="0" w:type="auto"/>
          </w:tcPr>
          <w:p w14:paraId="24BC275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25</w:t>
            </w:r>
          </w:p>
        </w:tc>
        <w:tc>
          <w:tcPr>
            <w:tcW w:w="0" w:type="auto"/>
          </w:tcPr>
          <w:p w14:paraId="613CEA5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8F8353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1DB49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28</w:t>
            </w:r>
          </w:p>
        </w:tc>
      </w:tr>
      <w:tr w:rsidR="00B640C4" w14:paraId="4F04347D" w14:textId="77777777" w:rsidTr="00F35DDA">
        <w:tc>
          <w:tcPr>
            <w:tcW w:w="720" w:type="dxa"/>
          </w:tcPr>
          <w:p w14:paraId="4601834B" w14:textId="77777777" w:rsidR="00B640C4" w:rsidRPr="00381A54" w:rsidRDefault="00B640C4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MPDCCH</w:t>
            </w: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14:paraId="4316B521" w14:textId="6FE314FE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2F878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0F6E5BD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17C7451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52B25D5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1FB3D894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518876EA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7B46BDF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63F33141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03B57A2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641D224E" w14:textId="26FF47FF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FFD966" w:themeFill="accent4" w:themeFillTint="99"/>
          </w:tcPr>
          <w:p w14:paraId="4CBA043E" w14:textId="1D4DA6DE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11</w:t>
            </w:r>
          </w:p>
        </w:tc>
        <w:tc>
          <w:tcPr>
            <w:tcW w:w="0" w:type="auto"/>
          </w:tcPr>
          <w:p w14:paraId="1741ACAC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D89F66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0BEEF43" w14:textId="6E9D0F9E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7EDC45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7931A9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17122E5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54A30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65FE21D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61655C6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089765D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332BA5D4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2C8587F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19BEC3D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466AC04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08603D97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6F2787BE" w14:textId="5CA4EF4A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14:paraId="5A8F8593" w14:textId="7FFF5D9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13</w:t>
            </w:r>
          </w:p>
        </w:tc>
      </w:tr>
      <w:tr w:rsidR="00B640C4" w14:paraId="38897E50" w14:textId="77777777" w:rsidTr="00F35DDA">
        <w:tc>
          <w:tcPr>
            <w:tcW w:w="720" w:type="dxa"/>
            <w:tcBorders>
              <w:bottom w:val="single" w:sz="4" w:space="0" w:color="auto"/>
            </w:tcBorders>
          </w:tcPr>
          <w:p w14:paraId="6F5E8250" w14:textId="761FC3C9" w:rsidR="00B640C4" w:rsidRPr="00381A54" w:rsidRDefault="00B640C4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PDSCH</w:t>
            </w:r>
            <w:r w:rsidR="00F35DDA">
              <w:rPr>
                <w:rFonts w:ascii="Arial Narrow" w:hAnsi="Arial Narrow"/>
                <w:sz w:val="14"/>
                <w:szCs w:val="14"/>
              </w:rPr>
              <w:t xml:space="preserve">    </w:t>
            </w:r>
            <w:r w:rsidR="00F35DDA" w:rsidRPr="00F35DDA">
              <w:rPr>
                <w:rFonts w:ascii="Arial Narrow" w:hAnsi="Arial Narrow"/>
                <w:color w:val="4472C4" w:themeColor="accent1"/>
                <w:sz w:val="14"/>
                <w:szCs w:val="14"/>
              </w:rPr>
              <w:t>7</w:t>
            </w:r>
          </w:p>
        </w:tc>
        <w:tc>
          <w:tcPr>
            <w:tcW w:w="344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17BA2E47" w14:textId="60C3B4E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C8E0CF8" w14:textId="1B580795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0946241" w14:textId="11A3B03F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8A417C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FF252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40898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E9DE4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500635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AF0E9C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44A4C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F730079" w14:textId="4FAD141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39E5FE0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474FCEE7" w14:textId="29313518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BC144C4" w14:textId="07F706BC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077ECAB" w14:textId="54FA7679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3BF3151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8D3B80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7CAAC" w:themeFill="accent2" w:themeFillTint="66"/>
          </w:tcPr>
          <w:p w14:paraId="7D48E3CC" w14:textId="4C6AFDC9" w:rsidR="00B640C4" w:rsidRPr="00982DC0" w:rsidRDefault="002D0E30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14:paraId="70580CD5" w14:textId="1D9101FF" w:rsidR="00B640C4" w:rsidRPr="00982DC0" w:rsidRDefault="002D0E30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11</w:t>
            </w:r>
          </w:p>
        </w:tc>
        <w:tc>
          <w:tcPr>
            <w:tcW w:w="0" w:type="auto"/>
          </w:tcPr>
          <w:p w14:paraId="7CF12DC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4B771D5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33AE576C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425C8D85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73AE058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7615E5B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4119FAF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1CBCAD3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0D4E03A1" w14:textId="08DCC882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04EDF981" w14:textId="1904E9A9" w:rsidR="00B640C4" w:rsidRPr="00982DC0" w:rsidRDefault="00DC000D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B88FC4" wp14:editId="3D06AA8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67310</wp:posOffset>
                      </wp:positionV>
                      <wp:extent cx="226060" cy="97790"/>
                      <wp:effectExtent l="0" t="0" r="21590" b="35560"/>
                      <wp:wrapNone/>
                      <wp:docPr id="6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060" cy="97790"/>
                              </a:xfrm>
                              <a:prstGeom prst="bentConnector3">
                                <a:avLst>
                                  <a:gd name="adj1" fmla="val 614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F6263BB">
                    <v:shapetype id="_x0000_t34" coordsize="21600,21600" o:oned="t" filled="f" o:spt="34" adj="10800" path="m,l@0,0@0,21600,21600,21600e" w14:anchorId="1DB559E9">
                      <v:stroke joinstyle="miter"/>
                      <v:formulas>
                        <v:f eqn="val #0"/>
                      </v:formulas>
                      <v:path fillok="f" arrowok="t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6" style="position:absolute;margin-left:-4.85pt;margin-top:5.3pt;width:17.8pt;height: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472c4 [3204]" strokeweight=".5pt" type="#_x0000_t34" adj="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+0u0gEAAPkDAAAOAAAAZHJzL2Uyb0RvYy54bWysU02P0zAUvCPxHyzfaZKCsmzUdA9d4IKg&#10;YuEHuM5zE2T7WbZp0n/Ps5tmESCtFnFx/PFm3szY2dxNRrMT+DCgbXm1KjkDK7Eb7LHl376+f/WW&#10;sxCF7YRGCy0/Q+B325cvNqNrYI096g48IxIbmtG1vI/RNUURZA9GhBU6sHSo0BsRaemPRefFSOxG&#10;F+uyrIsRfec8SgiBdu8vh3yb+ZUCGT8rFSAy3XLSFvPo83hIY7HdiObohesHOcsQ/6DCiMFS04Xq&#10;XkTBfvjhDyozSI8BVVxJNAUqNUjIHshNVf7m5qEXDrIXCie4Jabw/2jlp9Pes6Frec2ZFYauaIfW&#10;Um7oG/ZOH3BkdUppdKGh4p3d+3kV3N4ny5PyJn3JDJtysuclWZgik7S5XtdlTflLOrq9ubnNwReP&#10;WOdD/ABoWJq0/AA2LjJe52DF6WOIOeFu1im67xVnymi6sJPQrK7eJKHEOtfS7MpL28nARXKexbOG&#10;RKftF1AUAImscqP89GCnPSPSlgspSUw1M+fqBFOD1guwfBo41yco5Gf5HPCCyJ3RxgVsBov+b93j&#10;dJWsLvXXBC6+UwQH7M75MnM09L5ydvO/kB7wr+sMf/xjtz8BAAD//wMAUEsDBBQABgAIAAAAIQC1&#10;0e3j2gAAAAcBAAAPAAAAZHJzL2Rvd25yZXYueG1sTI7BTsMwEETvSPyDtUjcWptKBBLiVIBUIcEF&#10;Ch/gxtskwl4H203C37Oc4DTamdHsq7eLd2LCmIZAGq7WCgRSG+xAnYaP993qFkTKhqxxgVDDNybY&#10;NudntalsmOkNp33uBI9QqoyGPuexkjK1PXqT1mFE4uwYojeZz9hJG83M497JjVKF9GYg/tCbER97&#10;bD/3J6/BYXzC8cs9l/Z13L1M5VE9zJPWlxfL/R2IjEv+K8MvPqNDw0yHcCKbhNOwKm+4yb4qQHC+&#10;uS5BHFgLBbKp5X/+5gcAAP//AwBQSwECLQAUAAYACAAAACEAtoM4kv4AAADhAQAAEwAAAAAAAAAA&#10;AAAAAAAAAAAAW0NvbnRlbnRfVHlwZXNdLnhtbFBLAQItABQABgAIAAAAIQA4/SH/1gAAAJQBAAAL&#10;AAAAAAAAAAAAAAAAAC8BAABfcmVscy8ucmVsc1BLAQItABQABgAIAAAAIQA8C+0u0gEAAPkDAAAO&#10;AAAAAAAAAAAAAAAAAC4CAABkcnMvZTJvRG9jLnhtbFBLAQItABQABgAIAAAAIQC10e3j2gAAAAcB&#10;AAAPAAAAAAAAAAAAAAAAACwEAABkcnMvZG93bnJldi54bWxQSwUGAAAAAAQABADzAAAAMwUAAAAA&#10;"/>
                  </w:pict>
                </mc:Fallback>
              </mc:AlternateContent>
            </w:r>
            <w:r w:rsidR="00B640C4">
              <w:rPr>
                <w:rFonts w:ascii="Arial Narrow" w:hAnsi="Arial Narrow"/>
                <w:sz w:val="14"/>
                <w:szCs w:val="14"/>
              </w:rPr>
              <w:t>9</w:t>
            </w:r>
          </w:p>
        </w:tc>
      </w:tr>
      <w:tr w:rsidR="00B640C4" w14:paraId="00406D63" w14:textId="77777777" w:rsidTr="00F35DDA">
        <w:tc>
          <w:tcPr>
            <w:tcW w:w="720" w:type="dxa"/>
            <w:tcBorders>
              <w:bottom w:val="single" w:sz="4" w:space="0" w:color="auto"/>
            </w:tcBorders>
          </w:tcPr>
          <w:p w14:paraId="0DBFA299" w14:textId="1223632E" w:rsidR="00B640C4" w:rsidRPr="00381A54" w:rsidRDefault="00B640C4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PUCCH</w:t>
            </w:r>
            <w:r>
              <w:rPr>
                <w:rFonts w:ascii="Arial Narrow" w:hAnsi="Arial Narrow"/>
                <w:sz w:val="14"/>
                <w:szCs w:val="14"/>
              </w:rPr>
              <w:t xml:space="preserve">     </w:t>
            </w:r>
            <w:r w:rsidRPr="006E1BB2">
              <w:rPr>
                <w:rFonts w:ascii="Arial Narrow" w:hAnsi="Arial Narrow"/>
                <w:sz w:val="12"/>
                <w:szCs w:val="12"/>
              </w:rPr>
              <w:t>ACK</w:t>
            </w:r>
            <w:r w:rsidR="0098605C">
              <w:rPr>
                <w:rFonts w:ascii="Arial Narrow" w:hAnsi="Arial Narrow"/>
                <w:sz w:val="12"/>
                <w:szCs w:val="12"/>
              </w:rPr>
              <w:t>/NACK (B</w:t>
            </w:r>
            <w:r w:rsidR="00F724D7">
              <w:rPr>
                <w:rFonts w:ascii="Arial Narrow" w:hAnsi="Arial Narrow"/>
                <w:sz w:val="12"/>
                <w:szCs w:val="12"/>
              </w:rPr>
              <w:t>undling</w:t>
            </w:r>
            <w:r w:rsidRPr="006E1BB2">
              <w:rPr>
                <w:rFonts w:ascii="Arial Narrow" w:hAnsi="Arial Narrow"/>
                <w:sz w:val="12"/>
                <w:szCs w:val="12"/>
              </w:rPr>
              <w:t>)</w:t>
            </w: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14:paraId="0BCD91C4" w14:textId="0CD2BD99" w:rsidR="00B640C4" w:rsidRPr="00982DC0" w:rsidRDefault="00DC000D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F35DDA">
              <w:rPr>
                <w:rFonts w:ascii="Arial Narrow" w:hAnsi="Arial Narrow"/>
                <w:noProof/>
                <w:color w:val="00B05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AD9D496" wp14:editId="69144812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145415</wp:posOffset>
                      </wp:positionV>
                      <wp:extent cx="2555875" cy="65405"/>
                      <wp:effectExtent l="19050" t="19050" r="92075" b="86995"/>
                      <wp:wrapNone/>
                      <wp:docPr id="10" name="Connector: Elb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5875" cy="65405"/>
                              </a:xfrm>
                              <a:prstGeom prst="bentConnector3">
                                <a:avLst>
                                  <a:gd name="adj1" fmla="val -116"/>
                                </a:avLst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540B802">
                    <v:shape id="Connector: Elbow 10" style="position:absolute;margin-left:11.6pt;margin-top:11.45pt;width:201.25pt;height:5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0b050" strokeweight=".5pt" type="#_x0000_t34" adj="-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2Xr/gEAAFoEAAAOAAAAZHJzL2Uyb0RvYy54bWysVNuO0zAQfUfiHyy/b5MUUlZR05Xo7vKC&#10;oOLyAa49bo18k22a9O8Zu2mWm4RAvEx8mXNmzrGd9d1oNDlBiMrZnjaLmhKw3AllDz39/Onx5paS&#10;mJgVTDsLPT1DpHeb58/Wg+9g6Y5OCwgESWzsBt/TY0q+q6rIj2BYXDgPFjelC4YlnIZDJQIbkN3o&#10;alnXq2pwQfjgOMSIq/eXTbop/FICT++ljJCI7in2lkoMJe5zrDZr1h0C80fFpzbYP3RhmLJYdKa6&#10;Z4mRr0H9QmUUDy46mRbcmcpJqTgUDaimqX9S8/HIPBQtaE70s03x/9Hyd6ddIErg2aE9lhk8o62z&#10;Fo1zoSMPeu8Gglvo0+Bjh+lbuwvTLPpdyKJHGUz+ohwyFm/Ps7cwJsJxcdm27e2rlhKOe6v2Zd1m&#10;zuoJ7ENMb8AZkgc93YNNcyMvirfs9DamYrKYOmXiS0OJNBrP7MQ0uWma1UQ7JWOBK3FGaptjdFqJ&#10;R6V1mYTDfqsDQTw2Xb+u26IWgT+kJab0gxUknT1alIJi9qBhKpZpq+zPxZEySmcNl5IfQKLD6EFT&#10;ZJS7DXNJxjlKbWYmzM4wie3NwPrPwCk/Q6Hc+78Bz4hS2dk0g42yLvyuehqvLctL/tWBi+5swd6J&#10;c7krxRq8wOW8p8eWX8j38wJ/+iVsvgEAAP//AwBQSwMEFAAGAAgAAAAhAMPZRaXdAAAACAEAAA8A&#10;AABkcnMvZG93bnJldi54bWxMj8FOwzAMhu9IvENkJG4sJaMMStMJgTaxE6JMnLPGtNUSpzTZVt4e&#10;c4KTZX2/fn8ul5N34ohj7ANpuJ5lIJCaYHtqNWzfV1d3IGIyZI0LhBq+McKyOj8rTWHDid7wWKdW&#10;cAnFwmjoUhoKKWPToTdxFgYkZp9h9CbxOrbSjubE5d5JlWW30pue+EJnBnzqsNnXB69h2r5+2X29&#10;Xn/ki5eNTNkq5s9O68uL6fEBRMIp/YXhV5/VoWKnXTiQjcJpUHPFSZ7qHgTzG5UvQOw0zBnIqpT/&#10;H6h+AAAA//8DAFBLAQItABQABgAIAAAAIQC2gziS/gAAAOEBAAATAAAAAAAAAAAAAAAAAAAAAABb&#10;Q29udGVudF9UeXBlc10ueG1sUEsBAi0AFAAGAAgAAAAhADj9If/WAAAAlAEAAAsAAAAAAAAAAAAA&#10;AAAALwEAAF9yZWxzLy5yZWxzUEsBAi0AFAAGAAgAAAAhAMbHZev+AQAAWgQAAA4AAAAAAAAAAAAA&#10;AAAALgIAAGRycy9lMm9Eb2MueG1sUEsBAi0AFAAGAAgAAAAhAMPZRaXdAAAACAEAAA8AAAAAAAAA&#10;AAAAAAAAWAQAAGRycy9kb3ducmV2LnhtbFBLBQYAAAAABAAEAPMAAABiBQAAAAA=&#10;" w14:anchorId="628B5166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5DB8EF" w14:textId="3CE55434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E8C9385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044855" w14:textId="79AA260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957B7D4" w14:textId="4D6868C4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33F66A" w14:textId="6828568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3F76A96" w14:textId="77777777" w:rsidR="00B640C4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  <w:p w14:paraId="45811567" w14:textId="2F33ABD9" w:rsidR="00F35DDA" w:rsidRPr="00982DC0" w:rsidRDefault="00F35DDA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F35DDA">
              <w:rPr>
                <w:rFonts w:ascii="Arial Narrow" w:hAnsi="Arial Narrow"/>
                <w:color w:val="00B050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41EE28B" w14:textId="7163306A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FE5A4F8" w14:textId="057DCC6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F699F5" w14:textId="2EF326D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7D1A01" w14:textId="2FF2B33B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C5B7593" w14:textId="74E0C5B3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BBA60BE" w14:textId="74E81496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F2C4E07" w14:textId="77777777" w:rsidR="00B640C4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  <w:p w14:paraId="781E38C7" w14:textId="40742771" w:rsidR="00B640C4" w:rsidRPr="00982DC0" w:rsidRDefault="00F724D7" w:rsidP="00B713B9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(12, 13, 0, 1)</w:t>
            </w:r>
          </w:p>
        </w:tc>
        <w:tc>
          <w:tcPr>
            <w:tcW w:w="0" w:type="auto"/>
          </w:tcPr>
          <w:p w14:paraId="56BF5737" w14:textId="77777777" w:rsidR="00B640C4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  <w:p w14:paraId="3A752FBE" w14:textId="11906FB1" w:rsidR="00B640C4" w:rsidRPr="00982DC0" w:rsidRDefault="00F724D7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(2, 3, 4, 5)</w:t>
            </w:r>
          </w:p>
        </w:tc>
        <w:tc>
          <w:tcPr>
            <w:tcW w:w="0" w:type="auto"/>
          </w:tcPr>
          <w:p w14:paraId="094E738E" w14:textId="77777777" w:rsidR="00B640C4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  <w:p w14:paraId="3CB552D5" w14:textId="21CCAA94" w:rsidR="00B640C4" w:rsidRPr="00982DC0" w:rsidRDefault="00F724D7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(</w:t>
            </w:r>
            <w:r w:rsidR="00E64429">
              <w:rPr>
                <w:rFonts w:ascii="Arial Narrow" w:hAnsi="Arial Narrow"/>
                <w:sz w:val="14"/>
                <w:szCs w:val="14"/>
              </w:rPr>
              <w:t>6</w:t>
            </w:r>
            <w:r>
              <w:rPr>
                <w:rFonts w:ascii="Arial Narrow" w:hAnsi="Arial Narrow"/>
                <w:sz w:val="14"/>
                <w:szCs w:val="14"/>
              </w:rPr>
              <w:t>, 7, 8, 9)</w:t>
            </w:r>
          </w:p>
        </w:tc>
        <w:tc>
          <w:tcPr>
            <w:tcW w:w="0" w:type="auto"/>
          </w:tcPr>
          <w:p w14:paraId="133781C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37BA02A" w14:textId="6C8A1303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8BC4D6A" w14:textId="585CFB8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AF2B365" w14:textId="3D7809CD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BD92C5E" w14:textId="1BF351EF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587E398" w14:textId="2D336351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9332911" w14:textId="45C6D02B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ABB4BC4" w14:textId="3DE785FA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E5668D4" w14:textId="77897192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040089ED" w14:textId="60BC6E7B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3B7F4C8" w14:textId="789C07D3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3367286" w14:textId="30447AB5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AD45EAA" w14:textId="01D160C9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14:paraId="539BE957" w14:textId="77777777" w:rsidR="00B640C4" w:rsidRDefault="00B640C4" w:rsidP="00DC000D">
      <w:pPr>
        <w:spacing w:after="0"/>
        <w:jc w:val="both"/>
        <w:rPr>
          <w:rFonts w:eastAsia="Calibri"/>
        </w:rPr>
      </w:pPr>
    </w:p>
    <w:p w14:paraId="1A8A22CE" w14:textId="2A031726" w:rsidR="00DC000D" w:rsidRDefault="00DC000D" w:rsidP="00DC000D">
      <w:pPr>
        <w:jc w:val="both"/>
        <w:rPr>
          <w:rFonts w:eastAsia="Calibri"/>
        </w:rPr>
      </w:pPr>
      <w:r w:rsidRPr="00CD024A">
        <w:rPr>
          <w:rFonts w:eastAsia="Calibri"/>
        </w:rPr>
        <w:t xml:space="preserve">The time progression of </w:t>
      </w:r>
      <w:r>
        <w:rPr>
          <w:rFonts w:eastAsia="Calibri"/>
        </w:rPr>
        <w:t>Table 1</w:t>
      </w:r>
      <w:r w:rsidRPr="00CD024A">
        <w:rPr>
          <w:rFonts w:eastAsia="Calibri"/>
        </w:rPr>
        <w:t xml:space="preserve"> continues below</w:t>
      </w:r>
      <w:r>
        <w:rPr>
          <w:rFonts w:eastAsia="Calibri"/>
        </w:rPr>
        <w:t>:</w:t>
      </w:r>
    </w:p>
    <w:tbl>
      <w:tblPr>
        <w:tblStyle w:val="TableGrid"/>
        <w:tblW w:w="6568" w:type="dxa"/>
        <w:tblLook w:val="04A0" w:firstRow="1" w:lastRow="0" w:firstColumn="1" w:lastColumn="0" w:noHBand="0" w:noVBand="1"/>
      </w:tblPr>
      <w:tblGrid>
        <w:gridCol w:w="740"/>
        <w:gridCol w:w="344"/>
        <w:gridCol w:w="414"/>
        <w:gridCol w:w="350"/>
        <w:gridCol w:w="350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</w:tblGrid>
      <w:tr w:rsidR="00A25C6A" w14:paraId="7CDB9ABF" w14:textId="77777777" w:rsidTr="00DC000D">
        <w:tc>
          <w:tcPr>
            <w:tcW w:w="720" w:type="dxa"/>
          </w:tcPr>
          <w:p w14:paraId="44B865CE" w14:textId="77777777" w:rsidR="00DC000D" w:rsidRPr="00381A54" w:rsidRDefault="00DC000D" w:rsidP="0093108F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Subframe #</w:t>
            </w:r>
          </w:p>
        </w:tc>
        <w:tc>
          <w:tcPr>
            <w:tcW w:w="0" w:type="auto"/>
          </w:tcPr>
          <w:p w14:paraId="3BBC5325" w14:textId="0C5050C6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</w:t>
            </w: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42CE84B6" w14:textId="69C99111" w:rsidR="00DC000D" w:rsidRPr="00982DC0" w:rsidRDefault="00A25C6A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30</w:t>
            </w:r>
          </w:p>
        </w:tc>
        <w:tc>
          <w:tcPr>
            <w:tcW w:w="0" w:type="auto"/>
          </w:tcPr>
          <w:p w14:paraId="07C624E5" w14:textId="00D6F8DD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57821272" w14:textId="0DBAA914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340A9487" w14:textId="29CCC443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14F0D537" w14:textId="258CEC6B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76304E1B" w14:textId="5BF39E38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36316BAD" w14:textId="3AE74ED1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20FCAE15" w14:textId="7DBD3DF2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18AF1421" w14:textId="69E9DC8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0FA3E7D2" w14:textId="04E63CA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  <w:r w:rsidR="00A25C6A"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1E010EC0" w14:textId="1F473037" w:rsidR="00DC000D" w:rsidRPr="00982DC0" w:rsidRDefault="00A25C6A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40</w:t>
            </w:r>
          </w:p>
        </w:tc>
        <w:tc>
          <w:tcPr>
            <w:tcW w:w="0" w:type="auto"/>
          </w:tcPr>
          <w:p w14:paraId="299F9CB7" w14:textId="612E46E2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  <w:r w:rsidR="00A25C6A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6B4BDE76" w14:textId="56EC1BC5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  <w:r w:rsidR="00A25C6A"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58A247BB" w14:textId="1B263013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  <w:r w:rsidR="00A25C6A"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4A6BC4E" w14:textId="774D848A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  <w:r w:rsidR="00A25C6A"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B92E156" w14:textId="116E98B1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  <w:r w:rsidR="00A25C6A">
              <w:rPr>
                <w:rFonts w:ascii="Arial Narrow" w:hAnsi="Arial Narrow"/>
                <w:sz w:val="14"/>
                <w:szCs w:val="14"/>
              </w:rPr>
              <w:t>5</w:t>
            </w:r>
          </w:p>
        </w:tc>
      </w:tr>
      <w:tr w:rsidR="00A25C6A" w14:paraId="00F21F06" w14:textId="77777777" w:rsidTr="00DC000D">
        <w:tc>
          <w:tcPr>
            <w:tcW w:w="720" w:type="dxa"/>
          </w:tcPr>
          <w:p w14:paraId="0FCC90FE" w14:textId="77777777" w:rsidR="00DC000D" w:rsidRPr="00381A54" w:rsidRDefault="00DC000D" w:rsidP="0093108F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MPDCCH</w:t>
            </w:r>
          </w:p>
        </w:tc>
        <w:tc>
          <w:tcPr>
            <w:tcW w:w="0" w:type="auto"/>
          </w:tcPr>
          <w:p w14:paraId="0BEBE623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3E88369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A0643EA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1D6829B9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0155D26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A34476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8862B8D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3E417B0B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711A1F06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122514B4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33980A0B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6AC61ADD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4D018C71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4F75A424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6F26D1CA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3F4B34FC" w14:textId="4FE66922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  <w:r w:rsidR="00A25C6A"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14:paraId="433C721A" w14:textId="5E03E4C8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  <w:r w:rsidR="00A25C6A">
              <w:rPr>
                <w:rFonts w:ascii="Arial Narrow" w:hAnsi="Arial Narrow"/>
                <w:sz w:val="14"/>
                <w:szCs w:val="14"/>
              </w:rPr>
              <w:t>1</w:t>
            </w:r>
          </w:p>
        </w:tc>
      </w:tr>
      <w:tr w:rsidR="00A25C6A" w14:paraId="3828074D" w14:textId="77777777" w:rsidTr="00DC000D">
        <w:tc>
          <w:tcPr>
            <w:tcW w:w="720" w:type="dxa"/>
            <w:tcBorders>
              <w:bottom w:val="single" w:sz="4" w:space="0" w:color="auto"/>
            </w:tcBorders>
          </w:tcPr>
          <w:p w14:paraId="639CD8E8" w14:textId="728AA4D9" w:rsidR="00DC000D" w:rsidRPr="00381A54" w:rsidRDefault="00DC000D" w:rsidP="0093108F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PDSCH</w:t>
            </w:r>
            <w:r>
              <w:rPr>
                <w:rFonts w:ascii="Arial Narrow" w:hAnsi="Arial Narrow"/>
                <w:sz w:val="14"/>
                <w:szCs w:val="14"/>
              </w:rPr>
              <w:t xml:space="preserve">    </w:t>
            </w:r>
            <w:r w:rsidR="00A25C6A">
              <w:rPr>
                <w:rFonts w:ascii="Arial Narrow" w:hAnsi="Arial Narrow"/>
                <w:sz w:val="14"/>
                <w:szCs w:val="14"/>
              </w:rPr>
              <w:t xml:space="preserve">      </w:t>
            </w:r>
          </w:p>
        </w:tc>
        <w:tc>
          <w:tcPr>
            <w:tcW w:w="0" w:type="auto"/>
          </w:tcPr>
          <w:p w14:paraId="614AD5EB" w14:textId="793BE13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0EFD8AB7" w14:textId="6F1E283F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FBF4900" w14:textId="55A94736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8605985" w14:textId="789C18C2" w:rsidR="00DC000D" w:rsidRPr="00982DC0" w:rsidRDefault="00A25C6A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A25C6A">
              <w:rPr>
                <w:rFonts w:ascii="Arial Narrow" w:hAnsi="Arial Narrow"/>
                <w:color w:val="0070C0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035718F7" w14:textId="59F6907F" w:rsidR="00DC000D" w:rsidRPr="00982DC0" w:rsidRDefault="00A25C6A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E385004" wp14:editId="4F5DD696">
                      <wp:simplePos x="0" y="0"/>
                      <wp:positionH relativeFrom="column">
                        <wp:posOffset>-961390</wp:posOffset>
                      </wp:positionH>
                      <wp:positionV relativeFrom="paragraph">
                        <wp:posOffset>114935</wp:posOffset>
                      </wp:positionV>
                      <wp:extent cx="1304925" cy="0"/>
                      <wp:effectExtent l="0" t="76200" r="9525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 w14:anchorId="461FB0B2">
                    <v:shapetype id="_x0000_t32" coordsize="21600,21600" o:oned="t" filled="f" o:spt="32" path="m,l21600,21600e" w14:anchorId="2959C717">
                      <v:path fillok="f" arrowok="t" o:connecttype="none"/>
                      <o:lock v:ext="edit" shapetype="t"/>
                    </v:shapetype>
                    <v:shape id="Straight Arrow Connector 5" style="position:absolute;margin-left:-75.7pt;margin-top:9.05pt;width:102.75pt;height:0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472c4 [3204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PL0QEAAAAEAAAOAAAAZHJzL2Uyb0RvYy54bWysU9uO0zAQfUfiHyy/06SFRVA1XaEu8IKg&#10;YuEDvM64seSbxkPT/j1jp80iQEIgXiaxPWfmnOPx5vbknTgCZhtDJ5eLVgoIOvY2HDr59cu7Z6+k&#10;yKRCr1wM0MkzZHm7ffpkM6Y1rOIQXQ8ouEjI6zF1ciBK66bJegCv8iImCHxoInpFvMRD06Maubp3&#10;zaptXzZjxD5h1JAz795Nh3Jb6xsDmj4Zk4GE6yRzoxqxxocSm+1GrQ+o0mD1hYb6BxZe2cBN51J3&#10;ipT4hvaXUt5qjDkaWujom2iM1VA1sJpl+5Oa+0ElqFrYnJxmm/L/K6s/HvcobN/JGymC8nxF94TK&#10;HgYSbxDjKHYxBLYxorgpbo0prxm0C3u8rHLaY5F+MujLl0WJU3X4PDsMJxKaN5fP2xevV9xKX8+a&#10;R2DCTO8helF+OpkvPGYCy+qwOn7IxK0ZeAWUri6USMq6t6EXdE6shNCqcHBQeHN6SWkK/4lx/aOz&#10;gwn+GQz7UDjWNnUCYedQHBXPjtIaAi3nSpxdYMY6NwPbPwMv+QUKdTr/BjwjaucYaAZ7GyL+rjud&#10;rpTNlH91YNJdLHiI/bneZbWGx6x6dXkSZY5/XFf448PdfgcAAP//AwBQSwMEFAAGAAgAAAAhAPip&#10;ooPdAAAACQEAAA8AAABkcnMvZG93bnJldi54bWxMj8FOwzAQRO9I/IO1SNxaJ1WL2jROhZDoEUTh&#10;ADc33tpR43UUu0ng61nEAU6r0TzNzpS7ybdiwD42gRTk8wwEUh1MQ1bB2+vjbA0iJk1Gt4FQwSdG&#10;2FXXV6UuTBjpBYdDsoJDKBZagUupK6SMtUOv4zx0SOydQu91YtlbaXo9crhv5SLL7qTXDfEHpzt8&#10;cFifDxev4Nm+D35B+0aeNh9fe/tkzm5MSt3eTPdbEAmn9AfDT32uDhV3OoYLmShaBbN8lS+ZZWed&#10;g2BiteR7/NWyKuX/BdU3AAAA//8DAFBLAQItABQABgAIAAAAIQC2gziS/gAAAOEBAAATAAAAAAAA&#10;AAAAAAAAAAAAAABbQ29udGVudF9UeXBlc10ueG1sUEsBAi0AFAAGAAgAAAAhADj9If/WAAAAlAEA&#10;AAsAAAAAAAAAAAAAAAAALwEAAF9yZWxzLy5yZWxzUEsBAi0AFAAGAAgAAAAhAOeIk8vRAQAAAAQA&#10;AA4AAAAAAAAAAAAAAAAALgIAAGRycy9lMm9Eb2MueG1sUEsBAi0AFAAGAAgAAAAhAPipooPdAAAA&#10;CQEAAA8AAAAAAAAAAAAAAAAAKwQAAGRycy9kb3ducmV2LnhtbFBLBQYAAAAABAAEAPMAAAA1BQAA&#10;AAA=&#10;">
                      <v:stroke joinstyle="miter" endarrow="block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3F656072" w14:textId="4C296EAB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14:paraId="2F31CF67" w14:textId="214A602D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13</w:t>
            </w:r>
          </w:p>
        </w:tc>
        <w:tc>
          <w:tcPr>
            <w:tcW w:w="0" w:type="auto"/>
          </w:tcPr>
          <w:p w14:paraId="24EE8207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6CFF17B0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113CB047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604358A7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12ACD5BD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0B9069B0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3E3336FD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4DD16EA3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768E3E2D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49F431D1" w14:textId="2EABC425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</w:tr>
      <w:tr w:rsidR="00A25C6A" w14:paraId="7D35D40B" w14:textId="77777777" w:rsidTr="00DC000D">
        <w:tc>
          <w:tcPr>
            <w:tcW w:w="720" w:type="dxa"/>
            <w:tcBorders>
              <w:bottom w:val="single" w:sz="4" w:space="0" w:color="auto"/>
            </w:tcBorders>
          </w:tcPr>
          <w:p w14:paraId="074E3E62" w14:textId="77777777" w:rsidR="00DC000D" w:rsidRDefault="00DC000D" w:rsidP="00F724D7">
            <w:pPr>
              <w:keepNext/>
              <w:keepLines/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PUCCH</w:t>
            </w:r>
            <w:r>
              <w:rPr>
                <w:rFonts w:ascii="Arial Narrow" w:hAnsi="Arial Narrow"/>
                <w:sz w:val="14"/>
                <w:szCs w:val="14"/>
              </w:rPr>
              <w:t xml:space="preserve">     </w:t>
            </w:r>
            <w:r w:rsidRPr="006E1BB2">
              <w:rPr>
                <w:rFonts w:ascii="Arial Narrow" w:hAnsi="Arial Narrow"/>
                <w:sz w:val="12"/>
                <w:szCs w:val="12"/>
              </w:rPr>
              <w:t>ACK</w:t>
            </w:r>
            <w:r w:rsidR="0098605C">
              <w:rPr>
                <w:rFonts w:ascii="Arial Narrow" w:hAnsi="Arial Narrow"/>
                <w:sz w:val="12"/>
                <w:szCs w:val="12"/>
              </w:rPr>
              <w:t>/NACK</w:t>
            </w:r>
          </w:p>
          <w:p w14:paraId="72ACEFC8" w14:textId="3131BCA2" w:rsidR="00DC000D" w:rsidRPr="00381A54" w:rsidRDefault="0098605C" w:rsidP="0093108F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(Bundling</w:t>
            </w:r>
            <w:r w:rsidR="00DC000D">
              <w:rPr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0" w:type="auto"/>
          </w:tcPr>
          <w:p w14:paraId="18B7DD93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06810804" w14:textId="77777777" w:rsidR="00F724D7" w:rsidRDefault="00DC000D" w:rsidP="00F724D7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  <w:p w14:paraId="60BC170F" w14:textId="0F0483B3" w:rsidR="00DC000D" w:rsidRPr="00982DC0" w:rsidRDefault="00F724D7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(10, 11, 0, 1)</w:t>
            </w:r>
          </w:p>
        </w:tc>
        <w:tc>
          <w:tcPr>
            <w:tcW w:w="0" w:type="auto"/>
          </w:tcPr>
          <w:p w14:paraId="1BFF06F0" w14:textId="77777777" w:rsidR="00DC000D" w:rsidRDefault="00DC000D" w:rsidP="00F724D7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  <w:p w14:paraId="2ACD7F4E" w14:textId="21B9EACC" w:rsidR="00DC000D" w:rsidRPr="00982DC0" w:rsidRDefault="00F724D7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(2, 3, 4, 5)</w:t>
            </w:r>
          </w:p>
        </w:tc>
        <w:tc>
          <w:tcPr>
            <w:tcW w:w="0" w:type="auto"/>
          </w:tcPr>
          <w:p w14:paraId="0D890EA8" w14:textId="77777777" w:rsidR="00DC000D" w:rsidRDefault="00DC000D" w:rsidP="00F724D7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  <w:p w14:paraId="2899998C" w14:textId="43B8ABA2" w:rsidR="00DC000D" w:rsidRPr="00982DC0" w:rsidRDefault="00F724D7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(</w:t>
            </w:r>
            <w:r w:rsidR="00E64429">
              <w:rPr>
                <w:rFonts w:ascii="Arial Narrow" w:hAnsi="Arial Narrow"/>
                <w:sz w:val="14"/>
                <w:szCs w:val="14"/>
              </w:rPr>
              <w:t>6</w:t>
            </w:r>
            <w:r>
              <w:rPr>
                <w:rFonts w:ascii="Arial Narrow" w:hAnsi="Arial Narrow"/>
                <w:sz w:val="14"/>
                <w:szCs w:val="14"/>
              </w:rPr>
              <w:t>, 7, 8, 9)</w:t>
            </w:r>
          </w:p>
        </w:tc>
        <w:tc>
          <w:tcPr>
            <w:tcW w:w="0" w:type="auto"/>
          </w:tcPr>
          <w:p w14:paraId="27A44AE8" w14:textId="4CE72155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4DA5EDA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875B05B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5FB60C2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7BBDA2D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CADD92C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14714B3F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96076B1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4B65717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237F1AF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73FA8BA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038E5D3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01D5AC0B" w14:textId="77777777" w:rsidR="00DC000D" w:rsidRPr="00982DC0" w:rsidRDefault="00DC000D" w:rsidP="0093108F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14:paraId="4C63203B" w14:textId="77777777" w:rsidR="00DC000D" w:rsidRDefault="00DC000D" w:rsidP="00B640C4">
      <w:pPr>
        <w:keepNext/>
        <w:keepLines/>
        <w:jc w:val="both"/>
        <w:rPr>
          <w:sz w:val="16"/>
          <w:szCs w:val="16"/>
        </w:rPr>
      </w:pPr>
    </w:p>
    <w:p w14:paraId="42B12956" w14:textId="410A23B4" w:rsidR="00B640C4" w:rsidRPr="002C4325" w:rsidRDefault="00B640C4" w:rsidP="00B640C4">
      <w:pPr>
        <w:keepNext/>
        <w:keepLines/>
        <w:jc w:val="both"/>
      </w:pPr>
      <w:r w:rsidRPr="002C4325">
        <w:t xml:space="preserve">Note: The </w:t>
      </w:r>
      <w:r w:rsidRPr="002C4325">
        <w:rPr>
          <w:color w:val="4472C4" w:themeColor="accent1"/>
        </w:rPr>
        <w:t xml:space="preserve">blue </w:t>
      </w:r>
      <w:r w:rsidRPr="002C4325">
        <w:t xml:space="preserve">and </w:t>
      </w:r>
      <w:r w:rsidRPr="002C4325">
        <w:rPr>
          <w:color w:val="00B050"/>
        </w:rPr>
        <w:t xml:space="preserve">green </w:t>
      </w:r>
      <w:r w:rsidRPr="002C4325">
        <w:t xml:space="preserve">arrows illustrate examples </w:t>
      </w:r>
      <w:r w:rsidR="00041548" w:rsidRPr="002C4325">
        <w:t>of</w:t>
      </w:r>
      <w:r w:rsidRPr="002C4325">
        <w:t xml:space="preserve"> the “</w:t>
      </w:r>
      <w:r w:rsidRPr="002C4325">
        <w:rPr>
          <w:color w:val="4472C4" w:themeColor="accent1"/>
        </w:rPr>
        <w:t>Scheduling delay for PDSCH</w:t>
      </w:r>
      <w:r w:rsidRPr="002C4325">
        <w:t xml:space="preserve">” </w:t>
      </w:r>
      <w:r w:rsidR="002F2B1E" w:rsidRPr="002C4325">
        <w:rPr>
          <w:color w:val="4472C4" w:themeColor="accent1"/>
        </w:rPr>
        <w:t xml:space="preserve">(encompassing 7 subframes) </w:t>
      </w:r>
      <w:r w:rsidR="002F2B1E" w:rsidRPr="002C4325">
        <w:t>and “</w:t>
      </w:r>
      <w:r w:rsidR="002F2B1E" w:rsidRPr="002C4325">
        <w:rPr>
          <w:color w:val="00B050"/>
        </w:rPr>
        <w:t>HARQ-ACK delay</w:t>
      </w:r>
      <w:r w:rsidR="002F2B1E" w:rsidRPr="002C4325">
        <w:t xml:space="preserve">” </w:t>
      </w:r>
      <w:r w:rsidR="002F2B1E" w:rsidRPr="002C4325">
        <w:rPr>
          <w:color w:val="00B050"/>
        </w:rPr>
        <w:t>(encompassing 13 subframes)</w:t>
      </w:r>
      <w:r w:rsidR="00041548" w:rsidRPr="002C4325">
        <w:t xml:space="preserve"> respectively.</w:t>
      </w:r>
    </w:p>
    <w:p w14:paraId="0CCF7EFB" w14:textId="619E0A56" w:rsidR="00C14552" w:rsidRPr="00C7792F" w:rsidRDefault="006160F2" w:rsidP="00253EB4">
      <w:pPr>
        <w:jc w:val="both"/>
        <w:rPr>
          <w:lang w:val="en-US"/>
        </w:rPr>
      </w:pPr>
      <w:r>
        <w:t xml:space="preserve">From Table </w:t>
      </w:r>
      <w:r w:rsidR="00C7792F">
        <w:t>1</w:t>
      </w:r>
      <w:r w:rsidR="00C934C2" w:rsidRPr="008709A9">
        <w:t xml:space="preserve"> </w:t>
      </w:r>
      <w:proofErr w:type="gramStart"/>
      <w:r>
        <w:t>it can be seen that the</w:t>
      </w:r>
      <w:proofErr w:type="gramEnd"/>
      <w:r>
        <w:t xml:space="preserve"> </w:t>
      </w:r>
      <w:r w:rsidR="00C934C2" w:rsidRPr="008709A9">
        <w:t>introduction of 14</w:t>
      </w:r>
      <w:r w:rsidR="00900937">
        <w:t xml:space="preserve"> </w:t>
      </w:r>
      <w:r w:rsidR="00C934C2" w:rsidRPr="008709A9">
        <w:t>HARQ process</w:t>
      </w:r>
      <w:r w:rsidR="00E226D9">
        <w:t>es</w:t>
      </w:r>
      <w:r w:rsidR="00C934C2" w:rsidRPr="008709A9">
        <w:t xml:space="preserve"> in DL </w:t>
      </w:r>
      <w:r w:rsidR="008709A9" w:rsidRPr="008709A9">
        <w:t xml:space="preserve">would </w:t>
      </w:r>
      <w:r w:rsidR="00C934C2" w:rsidRPr="008709A9">
        <w:t xml:space="preserve">require </w:t>
      </w:r>
      <w:r w:rsidR="008709A9" w:rsidRPr="008709A9">
        <w:t>adding new values for both the “</w:t>
      </w:r>
      <w:r w:rsidR="008709A9" w:rsidRPr="008709A9">
        <w:rPr>
          <w:color w:val="4472C4" w:themeColor="accent1"/>
        </w:rPr>
        <w:t>Scheduling delay for PDSCH</w:t>
      </w:r>
      <w:r w:rsidR="008709A9" w:rsidRPr="008709A9">
        <w:t>” and “</w:t>
      </w:r>
      <w:r w:rsidR="008709A9" w:rsidRPr="008709A9">
        <w:rPr>
          <w:color w:val="00B050"/>
        </w:rPr>
        <w:t>HARQ-ACK delay</w:t>
      </w:r>
      <w:r w:rsidR="008709A9" w:rsidRPr="008709A9">
        <w:t>”</w:t>
      </w:r>
      <w:r w:rsidR="008709A9">
        <w:t>.</w:t>
      </w:r>
    </w:p>
    <w:p w14:paraId="6EE4C6DC" w14:textId="784D6A2B" w:rsidR="005A4BC3" w:rsidRDefault="00E93DA5" w:rsidP="00E93DA5">
      <w:pPr>
        <w:pStyle w:val="ListParagraph"/>
        <w:numPr>
          <w:ilvl w:val="0"/>
          <w:numId w:val="37"/>
        </w:numPr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 w:rsidRPr="00E93DA5">
        <w:rPr>
          <w:rFonts w:ascii="Times New Roman" w:eastAsia="Times New Roman" w:hAnsi="Times New Roman"/>
          <w:color w:val="4472C4" w:themeColor="accent1"/>
          <w:sz w:val="20"/>
          <w:szCs w:val="20"/>
          <w:lang w:val="en-GB" w:eastAsia="ja-JP"/>
        </w:rPr>
        <w:t>Scheduling delay for PDSCH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: </w:t>
      </w:r>
      <w:r w:rsidR="00A14761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When </w:t>
      </w:r>
      <w:r w:rsidR="00A14761" w:rsidRPr="00C7792F">
        <w:rPr>
          <w:rFonts w:ascii="Times New Roman" w:eastAsia="Times New Roman" w:hAnsi="Times New Roman"/>
          <w:color w:val="ED7D31" w:themeColor="accent2"/>
          <w:sz w:val="20"/>
          <w:szCs w:val="20"/>
          <w:lang w:val="en-GB" w:eastAsia="ja-JP"/>
        </w:rPr>
        <w:t xml:space="preserve">no PUCCH repetitions </w:t>
      </w:r>
      <w:r w:rsidR="00A14761">
        <w:rPr>
          <w:rFonts w:ascii="Times New Roman" w:eastAsia="Times New Roman" w:hAnsi="Times New Roman"/>
          <w:color w:val="ED7D31" w:themeColor="accent2"/>
          <w:sz w:val="20"/>
          <w:szCs w:val="20"/>
          <w:lang w:val="en-GB" w:eastAsia="ja-JP"/>
        </w:rPr>
        <w:t>n</w:t>
      </w:r>
      <w:r w:rsidR="00A14761" w:rsidRPr="00C7792F">
        <w:rPr>
          <w:rFonts w:ascii="Times New Roman" w:eastAsia="Times New Roman" w:hAnsi="Times New Roman"/>
          <w:color w:val="ED7D31" w:themeColor="accent2"/>
          <w:sz w:val="20"/>
          <w:szCs w:val="20"/>
          <w:lang w:val="en-GB" w:eastAsia="ja-JP"/>
        </w:rPr>
        <w:t>o</w:t>
      </w:r>
      <w:r w:rsidR="00A14761">
        <w:rPr>
          <w:rFonts w:ascii="Times New Roman" w:eastAsia="Times New Roman" w:hAnsi="Times New Roman"/>
          <w:color w:val="ED7D31" w:themeColor="accent2"/>
          <w:sz w:val="20"/>
          <w:szCs w:val="20"/>
          <w:lang w:val="en-GB" w:eastAsia="ja-JP"/>
        </w:rPr>
        <w:t>r</w:t>
      </w:r>
      <w:r w:rsidR="00A14761" w:rsidRPr="00C7792F">
        <w:rPr>
          <w:rFonts w:ascii="Times New Roman" w:eastAsia="Times New Roman" w:hAnsi="Times New Roman"/>
          <w:color w:val="ED7D31" w:themeColor="accent2"/>
          <w:sz w:val="20"/>
          <w:szCs w:val="20"/>
          <w:lang w:val="en-GB" w:eastAsia="ja-JP"/>
        </w:rPr>
        <w:t xml:space="preserve"> </w:t>
      </w:r>
      <w:r w:rsidR="0030617B">
        <w:rPr>
          <w:rFonts w:ascii="Times New Roman" w:eastAsia="Times New Roman" w:hAnsi="Times New Roman"/>
          <w:color w:val="ED7D31" w:themeColor="accent2"/>
          <w:sz w:val="20"/>
          <w:szCs w:val="20"/>
          <w:lang w:val="en-GB" w:eastAsia="ja-JP"/>
        </w:rPr>
        <w:t>invalid subframes</w:t>
      </w:r>
      <w:r w:rsidR="00A14761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="005A4BC3">
        <w:rPr>
          <w:rFonts w:ascii="Times New Roman" w:eastAsia="Times New Roman" w:hAnsi="Times New Roman"/>
          <w:sz w:val="20"/>
          <w:szCs w:val="20"/>
          <w:lang w:val="en-GB" w:eastAsia="ja-JP"/>
        </w:rPr>
        <w:t>ar</w:t>
      </w:r>
      <w:r w:rsidR="00A14761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e used </w:t>
      </w:r>
      <w:r w:rsidR="00B223B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along </w:t>
      </w:r>
      <w:r w:rsidR="00A14761">
        <w:rPr>
          <w:rFonts w:ascii="Times New Roman" w:eastAsia="Times New Roman" w:hAnsi="Times New Roman"/>
          <w:sz w:val="20"/>
          <w:szCs w:val="20"/>
          <w:lang w:val="en-GB" w:eastAsia="ja-JP"/>
        </w:rPr>
        <w:t>with the 14 HARQ processes, the required PDSCH scheduling delays are the legacy value of 2 BL/CE DL subframes plus a new value that encompasses 7 subframes</w:t>
      </w:r>
      <w:r w:rsidR="007C25B0">
        <w:rPr>
          <w:rFonts w:ascii="Times New Roman" w:eastAsia="Times New Roman" w:hAnsi="Times New Roman"/>
          <w:sz w:val="20"/>
          <w:szCs w:val="20"/>
          <w:lang w:val="en-GB" w:eastAsia="ja-JP"/>
        </w:rPr>
        <w:t>, whether t</w:t>
      </w:r>
      <w:r w:rsidR="00B223B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he </w:t>
      </w:r>
      <w:r w:rsidR="007C25B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subframes </w:t>
      </w:r>
      <w:r w:rsidR="00B223B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for the new delay of 7 </w:t>
      </w:r>
      <w:r w:rsidR="007C25B0">
        <w:rPr>
          <w:rFonts w:ascii="Times New Roman" w:eastAsia="Times New Roman" w:hAnsi="Times New Roman"/>
          <w:sz w:val="20"/>
          <w:szCs w:val="20"/>
          <w:lang w:val="en-GB" w:eastAsia="ja-JP"/>
        </w:rPr>
        <w:t>are BL/CE DL subframes</w:t>
      </w:r>
      <w:r w:rsidR="0030617B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, </w:t>
      </w:r>
      <w:r w:rsidR="00E621A6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BL/CE subframes, </w:t>
      </w:r>
      <w:r w:rsidR="007C25B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absolute subframes or other type </w:t>
      </w:r>
      <w:r w:rsidR="0030617B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of subframes </w:t>
      </w:r>
      <w:r w:rsidR="007C25B0">
        <w:rPr>
          <w:rFonts w:ascii="Times New Roman" w:eastAsia="Times New Roman" w:hAnsi="Times New Roman"/>
          <w:sz w:val="20"/>
          <w:szCs w:val="20"/>
          <w:lang w:val="en-GB" w:eastAsia="ja-JP"/>
        </w:rPr>
        <w:t>has been le</w:t>
      </w:r>
      <w:r w:rsidR="00924A3E">
        <w:rPr>
          <w:rFonts w:ascii="Times New Roman" w:eastAsia="Times New Roman" w:hAnsi="Times New Roman"/>
          <w:sz w:val="20"/>
          <w:szCs w:val="20"/>
          <w:lang w:val="en-GB" w:eastAsia="ja-JP"/>
        </w:rPr>
        <w:t>f</w:t>
      </w:r>
      <w:r w:rsidR="007C25B0">
        <w:rPr>
          <w:rFonts w:ascii="Times New Roman" w:eastAsia="Times New Roman" w:hAnsi="Times New Roman"/>
          <w:sz w:val="20"/>
          <w:szCs w:val="20"/>
          <w:lang w:val="en-GB" w:eastAsia="ja-JP"/>
        </w:rPr>
        <w:t>t for further study “</w:t>
      </w:r>
      <w:r w:rsidR="007C25B0" w:rsidRPr="007C25B0">
        <w:rPr>
          <w:rFonts w:ascii="Times New Roman" w:eastAsia="Times New Roman" w:hAnsi="Times New Roman"/>
          <w:sz w:val="20"/>
          <w:szCs w:val="20"/>
          <w:lang w:val="en-GB" w:eastAsia="ja-JP"/>
        </w:rPr>
        <w:t>[FFS subframes type(s)]</w:t>
      </w:r>
      <w:r w:rsidR="007C25B0">
        <w:rPr>
          <w:rFonts w:ascii="Times New Roman" w:eastAsia="Times New Roman" w:hAnsi="Times New Roman"/>
          <w:sz w:val="20"/>
          <w:szCs w:val="20"/>
          <w:lang w:val="en-GB" w:eastAsia="ja-JP"/>
        </w:rPr>
        <w:t>”.</w:t>
      </w:r>
      <w:r w:rsidR="005A4BC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</w:p>
    <w:p w14:paraId="7E84D567" w14:textId="77777777" w:rsidR="005A4BC3" w:rsidRDefault="005A4BC3" w:rsidP="005A4BC3">
      <w:pPr>
        <w:pStyle w:val="ListParagraph"/>
        <w:jc w:val="both"/>
        <w:rPr>
          <w:rFonts w:ascii="Times New Roman" w:eastAsia="Times New Roman" w:hAnsi="Times New Roman"/>
          <w:color w:val="4472C4" w:themeColor="accent1"/>
          <w:sz w:val="20"/>
          <w:szCs w:val="20"/>
          <w:lang w:val="en-GB" w:eastAsia="ja-JP"/>
        </w:rPr>
      </w:pPr>
    </w:p>
    <w:p w14:paraId="7FD13C21" w14:textId="3CB67E55" w:rsidR="00A14761" w:rsidRDefault="009140E5" w:rsidP="009140E5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/>
          <w:sz w:val="20"/>
          <w:szCs w:val="20"/>
          <w:lang w:val="en-GB" w:eastAsia="ja-JP"/>
        </w:rPr>
        <w:t>In o</w:t>
      </w:r>
      <w:r w:rsidR="005A4BC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ur view the legacy </w:t>
      </w:r>
      <w:r w:rsidR="00ED0E6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PDSCH scheduling </w:t>
      </w:r>
      <w:r w:rsidR="005A4BC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delay </w:t>
      </w:r>
      <w:r w:rsidR="00ED0E6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equal to </w:t>
      </w:r>
      <w:r w:rsidR="005A4BC3">
        <w:rPr>
          <w:rFonts w:ascii="Times New Roman" w:eastAsia="Times New Roman" w:hAnsi="Times New Roman"/>
          <w:sz w:val="20"/>
          <w:szCs w:val="20"/>
          <w:lang w:val="en-GB" w:eastAsia="ja-JP"/>
        </w:rPr>
        <w:t>2 is different than the new delay value of 7 because the latter not only encompasses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subframes used to transmit in DL, but encompasses also subframes used to transmit in UL and to perform a DL-to-UL switching and vice-versa. Nonetheless, </w:t>
      </w:r>
      <w:proofErr w:type="gramStart"/>
      <w:r w:rsidRPr="009140E5">
        <w:rPr>
          <w:rFonts w:ascii="Times New Roman" w:eastAsia="Times New Roman" w:hAnsi="Times New Roman"/>
          <w:sz w:val="20"/>
          <w:szCs w:val="20"/>
          <w:lang w:val="en-GB" w:eastAsia="ja-JP"/>
        </w:rPr>
        <w:t>as long as</w:t>
      </w:r>
      <w:proofErr w:type="gramEnd"/>
      <w:r w:rsidRPr="009140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a</w:t>
      </w:r>
      <w:r w:rsidR="00BD7CAF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subframe</w:t>
      </w:r>
      <w:r w:rsidRPr="009140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bitmap (either </w:t>
      </w:r>
      <w:r w:rsidR="00DD1FEA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an </w:t>
      </w:r>
      <w:r w:rsidRPr="009140E5">
        <w:rPr>
          <w:rFonts w:ascii="Times New Roman" w:eastAsia="Times New Roman" w:hAnsi="Times New Roman"/>
          <w:sz w:val="20"/>
          <w:szCs w:val="20"/>
          <w:lang w:val="en-GB" w:eastAsia="ja-JP"/>
        </w:rPr>
        <w:t>UL</w:t>
      </w:r>
      <w:r w:rsidR="00DD1FEA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, </w:t>
      </w:r>
      <w:r w:rsidRPr="009140E5">
        <w:rPr>
          <w:rFonts w:ascii="Times New Roman" w:eastAsia="Times New Roman" w:hAnsi="Times New Roman"/>
          <w:sz w:val="20"/>
          <w:szCs w:val="20"/>
          <w:lang w:val="en-GB" w:eastAsia="ja-JP"/>
        </w:rPr>
        <w:t>DL</w:t>
      </w:r>
      <w:r w:rsidR="00DD1FEA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or both</w:t>
      </w:r>
      <w:r w:rsidRPr="009140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bitmap</w:t>
      </w:r>
      <w:r w:rsidR="00DD1FEA">
        <w:rPr>
          <w:rFonts w:ascii="Times New Roman" w:eastAsia="Times New Roman" w:hAnsi="Times New Roman"/>
          <w:sz w:val="20"/>
          <w:szCs w:val="20"/>
          <w:lang w:val="en-GB" w:eastAsia="ja-JP"/>
        </w:rPr>
        <w:t>s</w:t>
      </w:r>
      <w:r w:rsidRPr="009140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) 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won’t be configur</w:t>
      </w:r>
      <w:r w:rsidR="00DD1FEA">
        <w:rPr>
          <w:rFonts w:ascii="Times New Roman" w:eastAsia="Times New Roman" w:hAnsi="Times New Roman"/>
          <w:sz w:val="20"/>
          <w:szCs w:val="20"/>
          <w:lang w:val="en-GB" w:eastAsia="ja-JP"/>
        </w:rPr>
        <w:t>ed along with the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14 HARQ processes</w:t>
      </w:r>
      <w:r w:rsidR="00DD1FEA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feature then the subframe type for the new delay of 7 could </w:t>
      </w:r>
      <w:r w:rsidR="00E82EFF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also </w:t>
      </w:r>
      <w:r w:rsidR="00DD1FEA">
        <w:rPr>
          <w:rFonts w:ascii="Times New Roman" w:eastAsia="Times New Roman" w:hAnsi="Times New Roman"/>
          <w:sz w:val="20"/>
          <w:szCs w:val="20"/>
          <w:lang w:val="en-GB" w:eastAsia="ja-JP"/>
        </w:rPr>
        <w:t>be expressed in terms of BL/CE DL subframes.</w:t>
      </w:r>
      <w:r w:rsidR="00E82EFF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On the other hand, if </w:t>
      </w:r>
      <w:r w:rsidR="00BD7CAF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subframe </w:t>
      </w:r>
      <w:r w:rsidR="00E82EFF">
        <w:rPr>
          <w:rFonts w:ascii="Times New Roman" w:eastAsia="Times New Roman" w:hAnsi="Times New Roman"/>
          <w:sz w:val="20"/>
          <w:szCs w:val="20"/>
          <w:lang w:val="en-GB" w:eastAsia="ja-JP"/>
        </w:rPr>
        <w:t>bitmap</w:t>
      </w:r>
      <w:r w:rsidR="0044108F">
        <w:rPr>
          <w:rFonts w:ascii="Times New Roman" w:eastAsia="Times New Roman" w:hAnsi="Times New Roman"/>
          <w:sz w:val="20"/>
          <w:szCs w:val="20"/>
          <w:lang w:val="en-GB" w:eastAsia="ja-JP"/>
        </w:rPr>
        <w:t>s</w:t>
      </w:r>
      <w:r w:rsidR="00E82EFF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were configured along with the 14 HARQ processes, then </w:t>
      </w:r>
      <w:bookmarkStart w:id="8" w:name="_Hlk49940722"/>
      <w:r w:rsidR="00E82EFF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there will be </w:t>
      </w:r>
      <w:r w:rsidR="003D085A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an </w:t>
      </w:r>
      <w:r w:rsidR="00E82EFF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impact on the achievable peak data rate </w:t>
      </w:r>
      <w:bookmarkEnd w:id="8"/>
      <w:r w:rsidR="00E82EFF">
        <w:rPr>
          <w:rFonts w:ascii="Times New Roman" w:eastAsia="Times New Roman" w:hAnsi="Times New Roman"/>
          <w:sz w:val="20"/>
          <w:szCs w:val="20"/>
          <w:lang w:val="en-GB" w:eastAsia="ja-JP"/>
        </w:rPr>
        <w:t>if the delay of 7 is expressed in terms of BL/CE DL subframes (see section 2.2.1).</w:t>
      </w:r>
    </w:p>
    <w:p w14:paraId="536D3001" w14:textId="1ED767D0" w:rsidR="00DD1FEA" w:rsidRDefault="00DD1FEA" w:rsidP="009140E5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</w:p>
    <w:p w14:paraId="0E676BA3" w14:textId="0A96964D" w:rsidR="00E82EFF" w:rsidRDefault="00710E81" w:rsidP="00E82EFF">
      <w:pPr>
        <w:pStyle w:val="Observation"/>
        <w:ind w:left="1701" w:hanging="1701"/>
      </w:pPr>
      <w:bookmarkStart w:id="9" w:name="_Toc54268316"/>
      <w:r>
        <w:t xml:space="preserve">If no </w:t>
      </w:r>
      <w:r w:rsidR="00D420F1">
        <w:t xml:space="preserve">subframe </w:t>
      </w:r>
      <w:r>
        <w:t>bitmaps are to be</w:t>
      </w:r>
      <w:r w:rsidR="00DD1FEA" w:rsidRPr="00DD1FEA">
        <w:t xml:space="preserve"> configured </w:t>
      </w:r>
      <w:r>
        <w:t>along with</w:t>
      </w:r>
      <w:r w:rsidR="00DD1FEA" w:rsidRPr="00DD1FEA">
        <w:t xml:space="preserve"> the 14 HARQ processes</w:t>
      </w:r>
      <w:r w:rsidR="00DD1FEA">
        <w:t xml:space="preserve">, </w:t>
      </w:r>
      <w:r w:rsidR="00DD1FEA" w:rsidRPr="00DD1FEA">
        <w:t>the</w:t>
      </w:r>
      <w:r>
        <w:t>n the</w:t>
      </w:r>
      <w:r w:rsidR="00DD1FEA" w:rsidRPr="00DD1FEA">
        <w:t xml:space="preserve"> new delay of 7 could</w:t>
      </w:r>
      <w:r w:rsidR="00E82EFF">
        <w:t xml:space="preserve"> </w:t>
      </w:r>
      <w:r>
        <w:t xml:space="preserve">as in legacy be </w:t>
      </w:r>
      <w:r w:rsidR="00DD1FEA" w:rsidRPr="00DD1FEA">
        <w:t>expressed in terms of BL/CE DL subframes</w:t>
      </w:r>
      <w:r w:rsidR="00E82EFF">
        <w:t>.</w:t>
      </w:r>
      <w:bookmarkEnd w:id="9"/>
    </w:p>
    <w:p w14:paraId="485A7624" w14:textId="17A4C814" w:rsidR="003D085A" w:rsidRPr="009140E5" w:rsidRDefault="003D085A" w:rsidP="00E82EFF">
      <w:pPr>
        <w:pStyle w:val="Observation"/>
        <w:ind w:left="1701" w:hanging="1701"/>
      </w:pPr>
      <w:bookmarkStart w:id="10" w:name="_Toc54268317"/>
      <w:r>
        <w:t xml:space="preserve">If the delay of 7 is expressed in terms of BL/CE DL subframes and </w:t>
      </w:r>
      <w:r w:rsidR="00D420F1">
        <w:t xml:space="preserve">subframe </w:t>
      </w:r>
      <w:r>
        <w:t>bitmap</w:t>
      </w:r>
      <w:r w:rsidR="00345ED2">
        <w:t>s</w:t>
      </w:r>
      <w:r>
        <w:t xml:space="preserve"> were </w:t>
      </w:r>
      <w:r w:rsidR="003E6C90">
        <w:t xml:space="preserve">to be </w:t>
      </w:r>
      <w:r>
        <w:t xml:space="preserve">configured along </w:t>
      </w:r>
      <w:r w:rsidR="003E6C90">
        <w:t xml:space="preserve">with </w:t>
      </w:r>
      <w:r>
        <w:t xml:space="preserve">the 14 HARQ processes, then </w:t>
      </w:r>
      <w:r w:rsidRPr="003D085A">
        <w:t xml:space="preserve">there </w:t>
      </w:r>
      <w:r w:rsidR="00345ED2">
        <w:t>will</w:t>
      </w:r>
      <w:r w:rsidRPr="003D085A">
        <w:t xml:space="preserve"> be an </w:t>
      </w:r>
      <w:r w:rsidR="00980430">
        <w:t>unnecessary</w:t>
      </w:r>
      <w:r w:rsidR="00980430" w:rsidRPr="003D085A">
        <w:t xml:space="preserve"> </w:t>
      </w:r>
      <w:r w:rsidR="00980430">
        <w:t>no</w:t>
      </w:r>
      <w:r w:rsidR="00DC42C1">
        <w:t>n-</w:t>
      </w:r>
      <w:r w:rsidR="00980430">
        <w:t xml:space="preserve">negligible </w:t>
      </w:r>
      <w:r w:rsidRPr="003D085A">
        <w:t>impact on the achievable peak data rate</w:t>
      </w:r>
      <w:r>
        <w:t>.</w:t>
      </w:r>
      <w:bookmarkEnd w:id="10"/>
    </w:p>
    <w:p w14:paraId="0C0CAE37" w14:textId="7E22EAB5" w:rsidR="00A14761" w:rsidRDefault="00A14761" w:rsidP="00A14761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</w:p>
    <w:p w14:paraId="18FDB015" w14:textId="7D7F1B31" w:rsidR="00E93DA5" w:rsidRDefault="00E93DA5" w:rsidP="00E93DA5">
      <w:pPr>
        <w:pStyle w:val="ListParagraph"/>
        <w:numPr>
          <w:ilvl w:val="0"/>
          <w:numId w:val="37"/>
        </w:numPr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 w:rsidRPr="00E93DA5">
        <w:rPr>
          <w:rFonts w:ascii="Times New Roman" w:eastAsia="Times New Roman" w:hAnsi="Times New Roman"/>
          <w:color w:val="00B050"/>
          <w:sz w:val="20"/>
          <w:szCs w:val="20"/>
          <w:lang w:val="en-GB" w:eastAsia="ja-JP"/>
        </w:rPr>
        <w:t>HARQ-ACK delay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:</w:t>
      </w:r>
      <w:r w:rsid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As mentioned </w:t>
      </w:r>
      <w:r w:rsidR="007937F2">
        <w:rPr>
          <w:rFonts w:ascii="Times New Roman" w:eastAsia="Times New Roman" w:hAnsi="Times New Roman"/>
          <w:sz w:val="20"/>
          <w:szCs w:val="20"/>
          <w:lang w:val="en-GB" w:eastAsia="ja-JP"/>
        </w:rPr>
        <w:t>earlier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, the HARQ-ACK bundling will be part of the framework towards the support of 14</w:t>
      </w:r>
      <w:r w:rsidR="00900937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HARQ processes in DL for HD-FDD Cat</w:t>
      </w:r>
      <w:r w:rsidR="007C6279">
        <w:rPr>
          <w:rFonts w:ascii="Times New Roman" w:eastAsia="Times New Roman" w:hAnsi="Times New Roman"/>
          <w:sz w:val="20"/>
          <w:szCs w:val="20"/>
          <w:lang w:val="en-GB" w:eastAsia="ja-JP"/>
        </w:rPr>
        <w:t>-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M1 UEs. When </w:t>
      </w:r>
      <w:r w:rsidR="007937F2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the 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HARQ-ACK bundling is used, up to 4 TB</w:t>
      </w:r>
      <w:r w:rsidR="007A2B47">
        <w:rPr>
          <w:rFonts w:ascii="Times New Roman" w:eastAsia="Times New Roman" w:hAnsi="Times New Roman"/>
          <w:sz w:val="20"/>
          <w:szCs w:val="20"/>
          <w:lang w:val="en-GB" w:eastAsia="ja-JP"/>
        </w:rPr>
        <w:t>s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can be </w:t>
      </w:r>
      <w:r w:rsidR="008B2434">
        <w:rPr>
          <w:rFonts w:ascii="Times New Roman" w:eastAsia="Times New Roman" w:hAnsi="Times New Roman"/>
          <w:sz w:val="20"/>
          <w:szCs w:val="20"/>
          <w:lang w:val="en-GB" w:eastAsia="ja-JP"/>
        </w:rPr>
        <w:t>bundled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per PUCCH meaning that the 14</w:t>
      </w:r>
      <w:r w:rsidR="00900937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HARQ processes in DL can be supported by using 3 PUCCH</w:t>
      </w:r>
      <w:r w:rsidR="00E53B7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transmission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s</w:t>
      </w:r>
      <w:r w:rsidR="009E4066">
        <w:rPr>
          <w:rFonts w:ascii="Times New Roman" w:eastAsia="Times New Roman" w:hAnsi="Times New Roman"/>
          <w:sz w:val="20"/>
          <w:szCs w:val="20"/>
          <w:lang w:val="en-GB" w:eastAsia="ja-JP"/>
        </w:rPr>
        <w:t>.</w:t>
      </w:r>
      <w:r w:rsidR="00385F1C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(Recall that only 12 out of 14 HARQ processes contribute to the increased peak rate</w:t>
      </w:r>
      <w:r w:rsidR="009E4066">
        <w:rPr>
          <w:rFonts w:ascii="Times New Roman" w:eastAsia="Times New Roman" w:hAnsi="Times New Roman"/>
          <w:sz w:val="20"/>
          <w:szCs w:val="20"/>
          <w:lang w:val="en-GB" w:eastAsia="ja-JP"/>
        </w:rPr>
        <w:t>.</w:t>
      </w:r>
      <w:r w:rsidR="00385F1C">
        <w:rPr>
          <w:rFonts w:ascii="Times New Roman" w:eastAsia="Times New Roman" w:hAnsi="Times New Roman"/>
          <w:sz w:val="20"/>
          <w:szCs w:val="20"/>
          <w:lang w:val="en-GB" w:eastAsia="ja-JP"/>
        </w:rPr>
        <w:t>)</w:t>
      </w:r>
      <w:r w:rsid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In [</w:t>
      </w:r>
      <w:r w:rsidR="002A6804">
        <w:rPr>
          <w:rFonts w:ascii="Times New Roman" w:eastAsia="Times New Roman" w:hAnsi="Times New Roman"/>
          <w:sz w:val="20"/>
          <w:szCs w:val="20"/>
          <w:lang w:val="en-GB" w:eastAsia="ja-JP"/>
        </w:rPr>
        <w:t>3</w:t>
      </w:r>
      <w:r w:rsid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], </w:t>
      </w:r>
      <w:r w:rsidR="00225DBA">
        <w:rPr>
          <w:rFonts w:ascii="Times New Roman" w:eastAsia="Times New Roman" w:hAnsi="Times New Roman"/>
          <w:sz w:val="20"/>
          <w:szCs w:val="20"/>
          <w:lang w:val="en-GB" w:eastAsia="ja-JP"/>
        </w:rPr>
        <w:t>the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8 selected values for the HARQ-ACK delay set</w:t>
      </w:r>
      <w:r w:rsidR="00225DBA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have been proposed to be </w:t>
      </w:r>
      <w:r w:rsidR="00225DBA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4, 5, 6, 7, 9, 11, 13 and 15</w:t>
      </w:r>
      <w:r w:rsidR="00277BB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, </w:t>
      </w:r>
      <w:r w:rsidR="007F082D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where </w:t>
      </w:r>
      <w:r w:rsidR="00277BB0">
        <w:rPr>
          <w:rFonts w:ascii="Times New Roman" w:eastAsia="Times New Roman" w:hAnsi="Times New Roman"/>
          <w:sz w:val="20"/>
          <w:szCs w:val="20"/>
          <w:lang w:val="en-GB" w:eastAsia="ja-JP"/>
        </w:rPr>
        <w:t>the last two values in the proposed set would be new</w:t>
      </w:r>
      <w:r w:rsidR="00225DBA">
        <w:rPr>
          <w:rFonts w:ascii="Times New Roman" w:eastAsia="Times New Roman" w:hAnsi="Times New Roman"/>
          <w:sz w:val="20"/>
          <w:szCs w:val="20"/>
          <w:lang w:val="en-GB" w:eastAsia="ja-JP"/>
        </w:rPr>
        <w:t>.</w:t>
      </w:r>
      <w:r w:rsidR="00CD64A1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</w:p>
    <w:p w14:paraId="3E3FCEBB" w14:textId="30EAB938" w:rsidR="00CD64A1" w:rsidRDefault="00CD64A1" w:rsidP="00CD64A1">
      <w:pPr>
        <w:pStyle w:val="ListParagraph"/>
        <w:jc w:val="both"/>
        <w:rPr>
          <w:rFonts w:ascii="Times New Roman" w:eastAsia="Times New Roman" w:hAnsi="Times New Roman"/>
          <w:color w:val="00B050"/>
          <w:sz w:val="20"/>
          <w:szCs w:val="20"/>
          <w:lang w:val="en-GB" w:eastAsia="ja-JP"/>
        </w:rPr>
      </w:pPr>
    </w:p>
    <w:p w14:paraId="4188049A" w14:textId="3DA9C826" w:rsidR="00294AC1" w:rsidRPr="007D0FDA" w:rsidRDefault="00CD64A1" w:rsidP="007D0FDA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 w:rsidRPr="00CD64A1">
        <w:rPr>
          <w:rFonts w:ascii="Times New Roman" w:eastAsia="Times New Roman" w:hAnsi="Times New Roman"/>
          <w:sz w:val="20"/>
          <w:szCs w:val="20"/>
          <w:lang w:val="en-GB" w:eastAsia="ja-JP"/>
        </w:rPr>
        <w:lastRenderedPageBreak/>
        <w:t xml:space="preserve">In 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RAN1 #102e, the HARQ-ACK delays were not discussed</w:t>
      </w:r>
      <w:r w:rsidR="009714E6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yet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. </w:t>
      </w:r>
      <w:r w:rsidR="009714E6">
        <w:rPr>
          <w:rFonts w:ascii="Times New Roman" w:eastAsia="Times New Roman" w:hAnsi="Times New Roman"/>
          <w:sz w:val="20"/>
          <w:szCs w:val="20"/>
          <w:lang w:val="en-GB" w:eastAsia="ja-JP"/>
        </w:rPr>
        <w:t>In our view,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the ultimate selection of the HARQ-ACK delay set should account for the resulting </w:t>
      </w:r>
      <w:r w:rsidR="00916A78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set’s 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average HARQ-ACK delay</w:t>
      </w:r>
      <w:r w:rsidR="00537D10">
        <w:rPr>
          <w:rFonts w:ascii="Times New Roman" w:eastAsia="Times New Roman" w:hAnsi="Times New Roman"/>
          <w:sz w:val="20"/>
          <w:szCs w:val="20"/>
          <w:lang w:val="en-GB" w:eastAsia="ja-JP"/>
        </w:rPr>
        <w:t>,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flexibility</w:t>
      </w:r>
      <w:r w:rsidR="00537D1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and the impact of non-ideal scenarios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.</w:t>
      </w:r>
    </w:p>
    <w:p w14:paraId="43A2AFB7" w14:textId="533BE190" w:rsidR="00294AC1" w:rsidRDefault="00294AC1" w:rsidP="00CD64A1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</w:p>
    <w:p w14:paraId="2D009C95" w14:textId="1CCF53FC" w:rsidR="00DF2795" w:rsidRPr="00DF2795" w:rsidRDefault="00F87C27" w:rsidP="00DF2795">
      <w:pPr>
        <w:pStyle w:val="Observation"/>
        <w:ind w:left="1701" w:hanging="1701"/>
      </w:pPr>
      <w:bookmarkStart w:id="11" w:name="_Toc54268318"/>
      <w:r>
        <w:t>T</w:t>
      </w:r>
      <w:r w:rsidR="00DF2795" w:rsidRPr="00DF2795">
        <w:t>he HARQ-ACK delay set should be selected accounting for the resulting set’s average delay</w:t>
      </w:r>
      <w:r>
        <w:t xml:space="preserve">, </w:t>
      </w:r>
      <w:r w:rsidR="00DF2795" w:rsidRPr="00DF2795">
        <w:t>flexibility</w:t>
      </w:r>
      <w:r>
        <w:t xml:space="preserve"> and the impact </w:t>
      </w:r>
      <w:r w:rsidR="00045BC2">
        <w:t>o</w:t>
      </w:r>
      <w:r>
        <w:t>f non-ideal scenarios</w:t>
      </w:r>
      <w:r w:rsidR="00DF2795" w:rsidRPr="00DF2795">
        <w:t>.</w:t>
      </w:r>
      <w:bookmarkEnd w:id="11"/>
    </w:p>
    <w:p w14:paraId="15C41FC8" w14:textId="789ED0E4" w:rsidR="00253EB4" w:rsidRDefault="00253EB4" w:rsidP="00253EB4">
      <w:pPr>
        <w:pStyle w:val="Heading2"/>
        <w:rPr>
          <w:lang w:eastAsia="en-GB"/>
        </w:rPr>
      </w:pPr>
      <w:r>
        <w:rPr>
          <w:lang w:eastAsia="en-GB"/>
        </w:rPr>
        <w:t>2.2</w:t>
      </w:r>
      <w:r>
        <w:rPr>
          <w:lang w:eastAsia="en-GB"/>
        </w:rPr>
        <w:tab/>
      </w:r>
      <w:r w:rsidR="000A1878" w:rsidRPr="000A1878">
        <w:rPr>
          <w:lang w:eastAsia="en-GB"/>
        </w:rPr>
        <w:t xml:space="preserve">14 HARQ processes – </w:t>
      </w:r>
      <w:r w:rsidR="005A2EA1">
        <w:rPr>
          <w:lang w:eastAsia="en-GB"/>
        </w:rPr>
        <w:t>I</w:t>
      </w:r>
      <w:r w:rsidR="000A1878">
        <w:rPr>
          <w:lang w:eastAsia="en-GB"/>
        </w:rPr>
        <w:t>n presence of</w:t>
      </w:r>
      <w:r w:rsidR="000A1878" w:rsidRPr="000A1878">
        <w:rPr>
          <w:lang w:eastAsia="en-GB"/>
        </w:rPr>
        <w:t xml:space="preserve"> </w:t>
      </w:r>
      <w:r w:rsidR="000A1878">
        <w:rPr>
          <w:lang w:eastAsia="en-GB"/>
        </w:rPr>
        <w:t xml:space="preserve">invalid </w:t>
      </w:r>
      <w:r w:rsidR="000A1878" w:rsidRPr="000A1878">
        <w:rPr>
          <w:lang w:eastAsia="en-GB"/>
        </w:rPr>
        <w:t>subframes</w:t>
      </w:r>
      <w:r w:rsidR="000A1878">
        <w:rPr>
          <w:lang w:eastAsia="en-GB"/>
        </w:rPr>
        <w:t xml:space="preserve"> </w:t>
      </w:r>
      <w:r w:rsidR="005A2EA1">
        <w:rPr>
          <w:lang w:eastAsia="en-GB"/>
        </w:rPr>
        <w:t>(</w:t>
      </w:r>
      <w:r w:rsidR="00A12CC8">
        <w:rPr>
          <w:lang w:eastAsia="en-GB"/>
        </w:rPr>
        <w:t xml:space="preserve">i.e., </w:t>
      </w:r>
      <w:r w:rsidR="005A2EA1">
        <w:rPr>
          <w:lang w:eastAsia="en-GB"/>
        </w:rPr>
        <w:t xml:space="preserve">non-BL/CE subframes) </w:t>
      </w:r>
      <w:r w:rsidR="000A1878">
        <w:rPr>
          <w:lang w:eastAsia="en-GB"/>
        </w:rPr>
        <w:t>and PUCCH repetitions</w:t>
      </w:r>
    </w:p>
    <w:p w14:paraId="38791323" w14:textId="11E24D2F" w:rsidR="00890FB2" w:rsidRPr="00B713B9" w:rsidRDefault="00890FB2" w:rsidP="00890FB2">
      <w:pPr>
        <w:pStyle w:val="Heading3"/>
        <w:rPr>
          <w:lang w:eastAsia="en-GB"/>
        </w:rPr>
      </w:pPr>
      <w:r>
        <w:rPr>
          <w:lang w:val="en-US" w:eastAsia="en-GB"/>
        </w:rPr>
        <w:t>2.2.1</w:t>
      </w:r>
      <w:r>
        <w:rPr>
          <w:lang w:val="en-US" w:eastAsia="en-GB"/>
        </w:rPr>
        <w:tab/>
      </w:r>
      <w:r w:rsidR="00977D45">
        <w:rPr>
          <w:lang w:val="en-US" w:eastAsia="en-GB"/>
        </w:rPr>
        <w:t xml:space="preserve">Examples showing the presence </w:t>
      </w:r>
      <w:r>
        <w:rPr>
          <w:lang w:val="en-US" w:eastAsia="en-GB"/>
        </w:rPr>
        <w:t xml:space="preserve">of </w:t>
      </w:r>
      <w:r w:rsidR="00415D8C">
        <w:rPr>
          <w:lang w:val="en-US" w:eastAsia="en-GB"/>
        </w:rPr>
        <w:t>invalid DL subframes (</w:t>
      </w:r>
      <w:r w:rsidR="005A2EA1">
        <w:rPr>
          <w:lang w:val="en-US" w:eastAsia="en-GB"/>
        </w:rPr>
        <w:t>non-</w:t>
      </w:r>
      <w:r>
        <w:rPr>
          <w:lang w:val="en-US" w:eastAsia="en-GB"/>
        </w:rPr>
        <w:t>BL/CE DL subframes</w:t>
      </w:r>
      <w:r w:rsidR="00415D8C">
        <w:rPr>
          <w:lang w:eastAsia="en-GB"/>
        </w:rPr>
        <w:t>)</w:t>
      </w:r>
    </w:p>
    <w:p w14:paraId="3A1CC46D" w14:textId="6EE6E803" w:rsidR="000A1878" w:rsidRDefault="000A1878" w:rsidP="00DE0439">
      <w:pPr>
        <w:jc w:val="both"/>
        <w:rPr>
          <w:rFonts w:eastAsia="Calibri"/>
          <w:lang w:val="en-US"/>
        </w:rPr>
      </w:pPr>
      <w:r w:rsidRPr="000A1878">
        <w:rPr>
          <w:rFonts w:eastAsia="Calibri"/>
          <w:lang w:val="en-US"/>
        </w:rPr>
        <w:t>In realistic network deployments the presence of invalid DL subframes (i.e., non-BL/CE DL subframes)</w:t>
      </w:r>
      <w:r w:rsidR="005D3546">
        <w:rPr>
          <w:rFonts w:eastAsia="Calibri"/>
          <w:lang w:val="en-US"/>
        </w:rPr>
        <w:t xml:space="preserve"> or</w:t>
      </w:r>
      <w:r w:rsidRPr="000A1878">
        <w:rPr>
          <w:rFonts w:eastAsia="Calibri"/>
          <w:lang w:val="en-US"/>
        </w:rPr>
        <w:t xml:space="preserve"> invalid</w:t>
      </w:r>
      <w:r w:rsidR="00F24EE6">
        <w:rPr>
          <w:rFonts w:eastAsia="Calibri"/>
          <w:lang w:val="en-US"/>
        </w:rPr>
        <w:t xml:space="preserve"> </w:t>
      </w:r>
      <w:r w:rsidRPr="000A1878">
        <w:rPr>
          <w:rFonts w:eastAsia="Calibri"/>
          <w:lang w:val="en-US"/>
        </w:rPr>
        <w:t>UL subframes (i.e., non-BL/CE UL subframes)</w:t>
      </w:r>
      <w:r>
        <w:rPr>
          <w:rFonts w:eastAsia="Calibri"/>
          <w:lang w:val="en-US"/>
        </w:rPr>
        <w:t xml:space="preserve"> is not uncommon. In this section</w:t>
      </w:r>
      <w:r w:rsidR="008F22DD">
        <w:rPr>
          <w:rFonts w:eastAsia="Calibri"/>
          <w:lang w:val="en-US"/>
        </w:rPr>
        <w:t xml:space="preserve"> </w:t>
      </w:r>
      <w:r w:rsidR="008F22DD" w:rsidRPr="008F22DD">
        <w:rPr>
          <w:rFonts w:eastAsia="Calibri"/>
          <w:color w:val="ED7D31" w:themeColor="accent2"/>
          <w:lang w:val="en-US"/>
        </w:rPr>
        <w:t>we</w:t>
      </w:r>
      <w:r w:rsidRPr="008F22DD">
        <w:rPr>
          <w:rFonts w:eastAsia="Calibri"/>
          <w:color w:val="ED7D31" w:themeColor="accent2"/>
          <w:lang w:val="en-US"/>
        </w:rPr>
        <w:t xml:space="preserve"> illustrate how the presence of </w:t>
      </w:r>
      <w:r w:rsidR="008F22DD" w:rsidRPr="008F22DD">
        <w:rPr>
          <w:rFonts w:eastAsia="Calibri"/>
          <w:color w:val="ED7D31" w:themeColor="accent2"/>
          <w:lang w:val="en-US"/>
        </w:rPr>
        <w:t xml:space="preserve">as few as two </w:t>
      </w:r>
      <w:r w:rsidRPr="008F22DD">
        <w:rPr>
          <w:rFonts w:eastAsia="Calibri"/>
          <w:color w:val="ED7D31" w:themeColor="accent2"/>
          <w:lang w:val="en-US"/>
        </w:rPr>
        <w:t xml:space="preserve">invalid </w:t>
      </w:r>
      <w:r w:rsidR="008F22DD">
        <w:rPr>
          <w:rFonts w:eastAsia="Calibri"/>
          <w:color w:val="ED7D31" w:themeColor="accent2"/>
          <w:lang w:val="en-US"/>
        </w:rPr>
        <w:t xml:space="preserve">DL </w:t>
      </w:r>
      <w:r w:rsidRPr="008F22DD">
        <w:rPr>
          <w:rFonts w:eastAsia="Calibri"/>
          <w:color w:val="ED7D31" w:themeColor="accent2"/>
          <w:lang w:val="en-US"/>
        </w:rPr>
        <w:t>subframe</w:t>
      </w:r>
      <w:r w:rsidR="008F22DD">
        <w:rPr>
          <w:rFonts w:eastAsia="Calibri"/>
          <w:color w:val="ED7D31" w:themeColor="accent2"/>
          <w:lang w:val="en-US"/>
        </w:rPr>
        <w:t>s</w:t>
      </w:r>
      <w:r w:rsidRPr="008F22DD">
        <w:rPr>
          <w:rFonts w:eastAsia="Calibri"/>
          <w:color w:val="ED7D31" w:themeColor="accent2"/>
          <w:lang w:val="en-US"/>
        </w:rPr>
        <w:t xml:space="preserve"> impacts the delays and more importantly </w:t>
      </w:r>
      <w:r w:rsidR="007A4BAD" w:rsidRPr="008F22DD">
        <w:rPr>
          <w:rFonts w:eastAsia="Calibri"/>
          <w:color w:val="ED7D31" w:themeColor="accent2"/>
          <w:lang w:val="en-US"/>
        </w:rPr>
        <w:t>the peak data rate</w:t>
      </w:r>
      <w:r w:rsidR="009D43E9">
        <w:rPr>
          <w:rFonts w:eastAsia="Calibri"/>
          <w:color w:val="ED7D31" w:themeColor="accent2"/>
          <w:lang w:val="en-US"/>
        </w:rPr>
        <w:t xml:space="preserve">, an example providing the presence of </w:t>
      </w:r>
      <w:r w:rsidR="00ED0E65">
        <w:rPr>
          <w:rFonts w:eastAsia="Calibri"/>
          <w:color w:val="ED7D31" w:themeColor="accent2"/>
          <w:lang w:val="en-US"/>
        </w:rPr>
        <w:t>five</w:t>
      </w:r>
      <w:r w:rsidR="009D43E9">
        <w:rPr>
          <w:rFonts w:eastAsia="Calibri"/>
          <w:color w:val="ED7D31" w:themeColor="accent2"/>
          <w:lang w:val="en-US"/>
        </w:rPr>
        <w:t xml:space="preserve"> invalid DL subframes is also illustrated</w:t>
      </w:r>
      <w:r w:rsidR="007A4BAD">
        <w:rPr>
          <w:rFonts w:eastAsia="Calibri"/>
          <w:lang w:val="en-US"/>
        </w:rPr>
        <w:t>.</w:t>
      </w:r>
    </w:p>
    <w:p w14:paraId="4999AE29" w14:textId="298CB23C" w:rsidR="008F22DD" w:rsidRDefault="008F22DD" w:rsidP="00DE0439">
      <w:pPr>
        <w:jc w:val="both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In the ideal 14 HARQ processes scenario where all subframes are valid, the achievable peak data rate is </w:t>
      </w:r>
      <w:r w:rsidRPr="008F22DD">
        <w:rPr>
          <w:rFonts w:eastAsia="Calibri"/>
          <w:lang w:val="en-US"/>
        </w:rPr>
        <w:t>706</w:t>
      </w:r>
      <w:r w:rsidR="00645786">
        <w:rPr>
          <w:rFonts w:eastAsia="Calibri"/>
          <w:lang w:val="en-US"/>
        </w:rPr>
        <w:t xml:space="preserve"> </w:t>
      </w:r>
      <w:r w:rsidR="00DC410E">
        <w:rPr>
          <w:rFonts w:eastAsia="Calibri"/>
          <w:lang w:val="en-US"/>
        </w:rPr>
        <w:t>K</w:t>
      </w:r>
      <w:r w:rsidRPr="008F22DD">
        <w:rPr>
          <w:rFonts w:eastAsia="Calibri"/>
          <w:lang w:val="en-US"/>
        </w:rPr>
        <w:t>bp</w:t>
      </w:r>
      <w:r>
        <w:rPr>
          <w:rFonts w:eastAsia="Calibri"/>
          <w:lang w:val="en-US"/>
        </w:rPr>
        <w:t xml:space="preserve">s, if the 14 HARQ processes feature were not designed to deal with the presence of non-BL/CE subframes then </w:t>
      </w:r>
      <w:r w:rsidRPr="008F22DD">
        <w:rPr>
          <w:rFonts w:eastAsia="Calibri"/>
          <w:color w:val="ED7D31" w:themeColor="accent2"/>
          <w:lang w:val="en-US"/>
        </w:rPr>
        <w:t>the presence of as few as two non-BL/CE DL subframes would bring down the peak dat</w:t>
      </w:r>
      <w:r w:rsidR="00123FE5">
        <w:rPr>
          <w:rFonts w:eastAsia="Calibri"/>
          <w:color w:val="ED7D31" w:themeColor="accent2"/>
          <w:lang w:val="en-US"/>
        </w:rPr>
        <w:t>a</w:t>
      </w:r>
      <w:r w:rsidRPr="008F22DD">
        <w:rPr>
          <w:rFonts w:eastAsia="Calibri"/>
          <w:color w:val="ED7D31" w:themeColor="accent2"/>
          <w:lang w:val="en-US"/>
        </w:rPr>
        <w:t xml:space="preserve"> rate from 706</w:t>
      </w:r>
      <w:r w:rsidR="00645786">
        <w:rPr>
          <w:rFonts w:eastAsia="Calibri"/>
          <w:color w:val="ED7D31" w:themeColor="accent2"/>
          <w:lang w:val="en-US"/>
        </w:rPr>
        <w:t xml:space="preserve"> </w:t>
      </w:r>
      <w:r w:rsidR="00DC410E">
        <w:rPr>
          <w:rFonts w:eastAsia="Calibri"/>
          <w:color w:val="ED7D31" w:themeColor="accent2"/>
          <w:lang w:val="en-US"/>
        </w:rPr>
        <w:t>K</w:t>
      </w:r>
      <w:r w:rsidRPr="008F22DD">
        <w:rPr>
          <w:rFonts w:eastAsia="Calibri"/>
          <w:color w:val="ED7D31" w:themeColor="accent2"/>
          <w:lang w:val="en-US"/>
        </w:rPr>
        <w:t xml:space="preserve">bps to </w:t>
      </w:r>
      <w:r w:rsidR="00E928E8">
        <w:rPr>
          <w:rFonts w:eastAsia="Calibri"/>
          <w:color w:val="ED7D31" w:themeColor="accent2"/>
          <w:lang w:val="en-US"/>
        </w:rPr>
        <w:t>571.5</w:t>
      </w:r>
      <w:r w:rsidR="00645786">
        <w:rPr>
          <w:rFonts w:eastAsia="Calibri"/>
          <w:color w:val="ED7D31" w:themeColor="accent2"/>
          <w:lang w:val="en-US"/>
        </w:rPr>
        <w:t xml:space="preserve"> </w:t>
      </w:r>
      <w:r w:rsidR="00DC410E">
        <w:rPr>
          <w:rFonts w:eastAsia="Calibri"/>
          <w:color w:val="ED7D31" w:themeColor="accent2"/>
          <w:lang w:val="en-US"/>
        </w:rPr>
        <w:t>K</w:t>
      </w:r>
      <w:r w:rsidRPr="008F22DD">
        <w:rPr>
          <w:rFonts w:eastAsia="Calibri"/>
          <w:color w:val="ED7D31" w:themeColor="accent2"/>
          <w:lang w:val="en-US"/>
        </w:rPr>
        <w:t>bps</w:t>
      </w:r>
      <w:r>
        <w:rPr>
          <w:rFonts w:eastAsia="Calibri"/>
          <w:lang w:val="en-US"/>
        </w:rPr>
        <w:t xml:space="preserve"> as illustrated </w:t>
      </w:r>
      <w:r w:rsidR="00EE7B21">
        <w:rPr>
          <w:rFonts w:eastAsia="Calibri"/>
          <w:lang w:val="en-US"/>
        </w:rPr>
        <w:t>in Table 4 (</w:t>
      </w:r>
      <w:r w:rsidR="00123FE5">
        <w:rPr>
          <w:rFonts w:eastAsia="Calibri"/>
          <w:lang w:val="en-US"/>
        </w:rPr>
        <w:t>S</w:t>
      </w:r>
      <w:r w:rsidR="00EE7B21">
        <w:rPr>
          <w:rFonts w:eastAsia="Calibri"/>
          <w:lang w:val="en-US"/>
        </w:rPr>
        <w:t>ee the comparison between 1) and 2))</w:t>
      </w:r>
      <w:r>
        <w:rPr>
          <w:rFonts w:eastAsia="Calibri"/>
          <w:lang w:val="en-US"/>
        </w:rPr>
        <w:t>.</w:t>
      </w:r>
    </w:p>
    <w:p w14:paraId="1D451743" w14:textId="57DFE9F4" w:rsidR="008F22DD" w:rsidRPr="00A82237" w:rsidRDefault="008F22DD" w:rsidP="008F22DD">
      <w:pPr>
        <w:jc w:val="center"/>
        <w:rPr>
          <w:b/>
        </w:rPr>
      </w:pPr>
      <w:r w:rsidRPr="00A82237">
        <w:rPr>
          <w:b/>
        </w:rPr>
        <w:t xml:space="preserve">Table 4: </w:t>
      </w:r>
      <w:r w:rsidR="00311024" w:rsidRPr="00A82237">
        <w:rPr>
          <w:b/>
        </w:rPr>
        <w:t xml:space="preserve">Comparison </w:t>
      </w:r>
      <w:r w:rsidRPr="00A82237">
        <w:rPr>
          <w:b/>
        </w:rPr>
        <w:t>14 HARQ processes using HARQ-ACK bundling</w:t>
      </w:r>
      <w:r w:rsidR="00311024" w:rsidRPr="00A82237">
        <w:rPr>
          <w:b/>
        </w:rPr>
        <w:t>: 1) Ideal scenario, and 2)</w:t>
      </w:r>
      <w:r w:rsidRPr="00A82237">
        <w:rPr>
          <w:b/>
        </w:rPr>
        <w:t xml:space="preserve"> </w:t>
      </w:r>
      <w:r w:rsidR="00311024" w:rsidRPr="00A82237">
        <w:rPr>
          <w:b/>
        </w:rPr>
        <w:t>In presence of two</w:t>
      </w:r>
      <w:r w:rsidRPr="00A82237">
        <w:rPr>
          <w:b/>
        </w:rPr>
        <w:t xml:space="preserve"> </w:t>
      </w:r>
      <w:r w:rsidR="00311024" w:rsidRPr="00A82237">
        <w:rPr>
          <w:b/>
        </w:rPr>
        <w:t>non-</w:t>
      </w:r>
      <w:r w:rsidRPr="00A82237">
        <w:rPr>
          <w:b/>
        </w:rPr>
        <w:t>BL/CE DL subframes.</w:t>
      </w:r>
    </w:p>
    <w:p w14:paraId="441F097C" w14:textId="3E696C32" w:rsidR="00A40FBC" w:rsidRPr="00A40FBC" w:rsidRDefault="00A40FBC" w:rsidP="00A40FBC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425"/>
        <w:gridCol w:w="485"/>
        <w:gridCol w:w="308"/>
        <w:gridCol w:w="308"/>
        <w:gridCol w:w="308"/>
        <w:gridCol w:w="308"/>
        <w:gridCol w:w="308"/>
        <w:gridCol w:w="308"/>
        <w:gridCol w:w="308"/>
        <w:gridCol w:w="308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</w:tblGrid>
      <w:tr w:rsidR="00311024" w:rsidRPr="00D77B65" w14:paraId="195FBBBE" w14:textId="77777777" w:rsidTr="00E53F7D">
        <w:trPr>
          <w:trHeight w:val="23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373C" w14:textId="1C31DA2A" w:rsidR="00311024" w:rsidRPr="00666F7A" w:rsidRDefault="00666F7A" w:rsidP="00666F7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cs="Calibri"/>
                <w:color w:val="000000"/>
                <w:sz w:val="16"/>
                <w:szCs w:val="16"/>
                <w:lang w:val="sv-SE" w:eastAsia="zh-CN"/>
              </w:rPr>
              <w:t>1) 14 HARQ proceses in an i</w:t>
            </w:r>
            <w:r w:rsidRPr="00666F7A">
              <w:rPr>
                <w:rFonts w:cs="Calibri"/>
                <w:color w:val="000000"/>
                <w:sz w:val="16"/>
                <w:szCs w:val="16"/>
                <w:lang w:val="sv-SE" w:eastAsia="zh-CN"/>
              </w:rPr>
              <w:t>deal Scenario</w:t>
            </w:r>
          </w:p>
        </w:tc>
        <w:tc>
          <w:tcPr>
            <w:tcW w:w="8078" w:type="dxa"/>
            <w:gridSpan w:val="2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8C532C" w14:textId="0AD98DD0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  <w:tr w:rsidR="008F22DD" w:rsidRPr="00D77B65" w14:paraId="77E06297" w14:textId="77777777" w:rsidTr="00E53F7D">
        <w:trPr>
          <w:trHeight w:val="23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2C10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1297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0E35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01EA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2EBF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92CD3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99E1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36EA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713F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473D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E8B2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C01E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155F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8227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E531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462A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B066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E530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3BC0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225E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6676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8F70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9BF9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21</w:t>
            </w:r>
          </w:p>
        </w:tc>
      </w:tr>
      <w:tr w:rsidR="008F22DD" w:rsidRPr="00D77B65" w14:paraId="38C658C1" w14:textId="77777777" w:rsidTr="00E53F7D">
        <w:trPr>
          <w:trHeight w:val="23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3177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D90C0" w14:textId="2171E07E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6EC98" w14:textId="28BE0463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F4AB3" w14:textId="1CBB0FCD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199CF" w14:textId="4F59EA0A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65971" w14:textId="47744ECF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0337" w14:textId="5400387C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2338B" w14:textId="2783CC5C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17D0" w14:textId="06439AB3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68DE" w14:textId="6A927E1F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F279" w14:textId="10FD54D7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80678" w14:textId="2EDCDD54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CDC66" w14:textId="7617DA69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EE60" w14:textId="1B19D06A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8B0FF" w14:textId="1AC1E278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ACB20" w14:textId="643D325C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F7613" w14:textId="0BCD7639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1880D" w14:textId="34F08FE8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D29B3" w14:textId="1E2C7EA9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57CBC" w14:textId="2C03D411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F27CA" w14:textId="29EB4C45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65503" w14:textId="36B9876C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82BD5" w14:textId="6C3F7A78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8F22DD" w:rsidRPr="00D77B65" w14:paraId="5F2FEB98" w14:textId="77777777" w:rsidTr="00E53F7D">
        <w:trPr>
          <w:trHeight w:val="23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BDCE" w14:textId="7777777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94B92" w14:textId="07D7F85F" w:rsidR="008F22DD" w:rsidRPr="00D77B65" w:rsidRDefault="00E53F7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501AC" w14:textId="157B6DF5" w:rsidR="008F22DD" w:rsidRPr="00D77B65" w:rsidRDefault="00E53F7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F0F6" w14:textId="0C22E86E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1E02A" w14:textId="323B8839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17A16" w14:textId="30E5B864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554C3" w14:textId="77DFAB51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1B494" w14:textId="5ABC3E35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94F6F" w14:textId="02AB53CB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91B9C" w14:textId="01BA52BD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4F1AF" w14:textId="6404D4C8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8A163" w14:textId="2863EF5E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327F" w14:textId="1CE2BEDE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222AF" w14:textId="44FDAD14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9404F" w14:textId="19B80DFF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4DB08" w14:textId="3ECB563C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3B4EC" w14:textId="309AD432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094AF" w14:textId="223A45F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4B3F8" w14:textId="5979E55F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92C5A" w14:textId="15D81864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74AE4" w14:textId="5A4A48D9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0F0A2" w14:textId="6ED9A564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C4E97" w14:textId="2EAAD122" w:rsidR="008F22DD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8F22DD" w:rsidRPr="00D77B65" w14:paraId="7E9518C5" w14:textId="77777777" w:rsidTr="00E53F7D">
        <w:trPr>
          <w:trHeight w:val="23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2312" w14:textId="0EDD34A0" w:rsidR="008F22DD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  <w:r w:rsidR="0098605C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(Bundling)</w:t>
            </w:r>
          </w:p>
          <w:p w14:paraId="612FB529" w14:textId="4CE57F33" w:rsidR="006E3C11" w:rsidRDefault="006E3C11" w:rsidP="006E3C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0: (</w:t>
            </w:r>
            <w:r w:rsidR="00E53F7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12, 13, 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0, 1)</w:t>
            </w:r>
          </w:p>
          <w:p w14:paraId="7E45C31A" w14:textId="634B26A7" w:rsidR="006E3C11" w:rsidRDefault="006E3C11" w:rsidP="006E3C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1: (</w:t>
            </w:r>
            <w:r w:rsidR="00E53F7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2, 3, 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4, 5)</w:t>
            </w:r>
          </w:p>
          <w:p w14:paraId="2BAF5365" w14:textId="3E6D1D25" w:rsidR="008F22DD" w:rsidRDefault="006E3C1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2: (</w:t>
            </w:r>
            <w:r w:rsidR="00E53F7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6, 7, 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8, 9)</w:t>
            </w:r>
          </w:p>
          <w:p w14:paraId="4C6DFFE8" w14:textId="1F236390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F5161" w14:textId="37465D31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1D7E0" w14:textId="5237871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537C" w14:textId="7B74FDBF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B535" w14:textId="7F084611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28128" w14:textId="2423733A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19947" w14:textId="63072501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1DFAE" w14:textId="519F3027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EFA76" w14:textId="5248E5A8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B826A" w14:textId="2B57619F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71EF5" w14:textId="055F128D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B7FFD" w14:textId="15F8D063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9BE5C" w14:textId="6E9CF1E5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8CB21" w14:textId="2913908B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F89CA" w14:textId="16DF357A" w:rsidR="008F22DD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  <w:p w14:paraId="0C134B56" w14:textId="2CF19B45" w:rsidR="003B34F9" w:rsidRDefault="003B34F9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4BDE786A" w14:textId="2A81E937" w:rsidR="003B34F9" w:rsidRDefault="003B34F9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54DCBED7" w14:textId="77777777" w:rsidR="003B34F9" w:rsidRDefault="003B34F9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794586A1" w14:textId="1790F36B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FC41B" w14:textId="332768DC" w:rsidR="008F22DD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  <w:p w14:paraId="09EE9857" w14:textId="76F08A50" w:rsidR="003B34F9" w:rsidRDefault="003B34F9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04F70F62" w14:textId="331D9186" w:rsidR="003B34F9" w:rsidRDefault="003B34F9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10649561" w14:textId="77777777" w:rsidR="003B34F9" w:rsidRDefault="003B34F9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7B4ABFED" w14:textId="24EFC166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888D8" w14:textId="2CFCF8F8" w:rsidR="008F22DD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  <w:p w14:paraId="7FE81A95" w14:textId="77777777" w:rsidR="003B34F9" w:rsidRDefault="003B34F9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062FF6AB" w14:textId="77777777" w:rsidR="00BD7961" w:rsidRDefault="00BD796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50604056" w14:textId="77777777" w:rsidR="00BD7961" w:rsidRDefault="00BD796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7DB1E799" w14:textId="0BA4E7E0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EC634" w14:textId="2ABB76EF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688D7" w14:textId="798CD45A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C72AE" w14:textId="19D41DED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83722" w14:textId="75B7736D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7D67D" w14:textId="06E40C45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C60A9" w14:textId="76FDEFC3" w:rsidR="008F22DD" w:rsidRPr="00D77B65" w:rsidRDefault="008F22D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7D7C3B8" w14:textId="77777777" w:rsidR="00A40FBC" w:rsidRDefault="00A40FBC" w:rsidP="00A40FBC">
      <w:pPr>
        <w:rPr>
          <w:b/>
          <w:bCs/>
          <w:sz w:val="16"/>
          <w:szCs w:val="16"/>
        </w:rPr>
      </w:pPr>
    </w:p>
    <w:p w14:paraId="679ED131" w14:textId="6AF7B277" w:rsidR="00A40FBC" w:rsidRPr="00A40FBC" w:rsidRDefault="00A40FBC" w:rsidP="00A40FBC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2)</w:t>
      </w:r>
    </w:p>
    <w:p w14:paraId="38E4348E" w14:textId="77777777" w:rsidR="008F22DD" w:rsidRDefault="008F22DD" w:rsidP="008F22DD">
      <w:pPr>
        <w:spacing w:after="0"/>
        <w:jc w:val="both"/>
        <w:rPr>
          <w:rFonts w:eastAsia="Calibr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426"/>
        <w:gridCol w:w="425"/>
        <w:gridCol w:w="295"/>
        <w:gridCol w:w="305"/>
        <w:gridCol w:w="305"/>
        <w:gridCol w:w="305"/>
        <w:gridCol w:w="305"/>
        <w:gridCol w:w="305"/>
        <w:gridCol w:w="305"/>
        <w:gridCol w:w="305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400"/>
      </w:tblGrid>
      <w:tr w:rsidR="00666F7A" w:rsidRPr="00D77B65" w14:paraId="22C25FD4" w14:textId="77777777" w:rsidTr="00B713B9">
        <w:trPr>
          <w:trHeight w:val="23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06FCA" w14:textId="54051DB2" w:rsidR="00666F7A" w:rsidRPr="00A16B7C" w:rsidRDefault="00666F7A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2) 14 HARQ processes in presence of as few as 2 non-BL/CE </w:t>
            </w:r>
            <w:r w:rsidR="000E1C28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DL </w:t>
            </w: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>subframes</w:t>
            </w:r>
          </w:p>
          <w:p w14:paraId="63510995" w14:textId="77777777" w:rsidR="00A24001" w:rsidRPr="00A16B7C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</w:p>
          <w:p w14:paraId="04BFE462" w14:textId="2535DCBC" w:rsidR="00666F7A" w:rsidRPr="000E1C28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2400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fdd-DownlinkOrTddSubframeBitmapBR-r13 = 1 1 1 1 1 1 1 0 0 1</w:t>
            </w:r>
          </w:p>
        </w:tc>
        <w:tc>
          <w:tcPr>
            <w:tcW w:w="7938" w:type="dxa"/>
            <w:gridSpan w:val="2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81EF33" w14:textId="77777777" w:rsidR="00666F7A" w:rsidRPr="00D77B65" w:rsidRDefault="00666F7A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  <w:tr w:rsidR="00311024" w:rsidRPr="00D77B65" w14:paraId="129F4C52" w14:textId="77777777" w:rsidTr="00A40FBC">
        <w:trPr>
          <w:trHeight w:val="23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4FA8" w14:textId="4AC00B9D" w:rsidR="00311024" w:rsidRPr="00D84AC3" w:rsidRDefault="0004334D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FE342B0">
              <w:rPr>
                <w:rFonts w:ascii="Calibri" w:hAnsi="Calibri" w:cs="Calibri"/>
                <w:color w:val="000000" w:themeColor="text1"/>
                <w:sz w:val="16"/>
                <w:szCs w:val="16"/>
                <w:highlight w:val="yellow"/>
                <w:lang w:val="en-US" w:eastAsia="zh-CN"/>
              </w:rPr>
              <w:t>Non-BL/CE DL subframes</w:t>
            </w:r>
            <w:r w:rsidR="00D84AC3">
              <w:rPr>
                <w:rFonts w:ascii="Calibri" w:hAnsi="Calibri" w:cs="Calibri"/>
                <w:color w:val="000000" w:themeColor="text1"/>
                <w:sz w:val="16"/>
                <w:szCs w:val="16"/>
                <w:lang w:val="en-US" w:eastAsia="zh-CN"/>
              </w:rPr>
              <w:t xml:space="preserve"> are illustrated using “0”.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B54C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199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E4B6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D87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DF25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425E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E54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35948BB" w14:textId="75D26874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47FE7C" w14:textId="66F097A1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98A2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8AE5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505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77E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D2359" w14:textId="7D4D6314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1C5AF" w14:textId="1CDEE1A4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98576" w14:textId="2D830F4B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C19D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8FDA001" w14:textId="35651D77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4F02140" w14:textId="39EA717A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7AC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042D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DF7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311024" w:rsidRPr="00D77B65" w14:paraId="19487AA3" w14:textId="77777777" w:rsidTr="00A40FBC">
        <w:trPr>
          <w:trHeight w:val="23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A94E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BBB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9BDD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6552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D45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76AD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B4B8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EA03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2EC2F89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9E86852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EB8D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714A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0165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4D8B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79CC5" w14:textId="6464A244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61227" w14:textId="5DBB7616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31AD1" w14:textId="5DEFB2E3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83B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4C0E6E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7662DD0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69DF" w14:textId="77777777" w:rsidR="00311024" w:rsidRPr="005906C0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5906C0">
              <w:rPr>
                <w:rFonts w:ascii="Calibri" w:hAnsi="Calibri" w:cs="Calibri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334E" w14:textId="77777777" w:rsidR="00311024" w:rsidRPr="005906C0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5906C0">
              <w:rPr>
                <w:rFonts w:ascii="Calibri" w:hAnsi="Calibri" w:cs="Calibri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000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21</w:t>
            </w:r>
          </w:p>
        </w:tc>
      </w:tr>
      <w:tr w:rsidR="00311024" w:rsidRPr="00D77B65" w14:paraId="5273FDC4" w14:textId="77777777" w:rsidTr="00A40FBC">
        <w:trPr>
          <w:trHeight w:val="23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893F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EFB0B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1C7F0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00E18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96246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BC9B5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5FA06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586C7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4906EE3" w14:textId="5C49263A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3FAD834" w14:textId="086315D4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4FF49" w14:textId="672C497C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2566F" w14:textId="290C1AB3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A9BAA" w14:textId="50691A25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2C391" w14:textId="4E75A011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5606C" w14:textId="0AC29370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10BC3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D33B2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5172B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4C6AEDA" w14:textId="4E0979B0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52EC00E" w14:textId="146DA96D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AB146" w14:textId="036909EC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FC29E" w14:textId="141EF9FD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E85C" w14:textId="6A3B3344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311024" w:rsidRPr="00D77B65" w14:paraId="3395E420" w14:textId="77777777" w:rsidTr="00A40FBC">
        <w:trPr>
          <w:trHeight w:val="23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3B1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5E679" w14:textId="662EE155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78DFE" w14:textId="76C01EB6" w:rsidR="00311024" w:rsidRPr="00D77B65" w:rsidRDefault="00A2400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218A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83ED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FD7F0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FEE9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EF9A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69B45D1" w14:textId="410BD093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DD242D6" w14:textId="4A23233E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AE0CA" w14:textId="3C356339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E5F15" w14:textId="659EED34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256DC" w14:textId="1CFEC29A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1288" w14:textId="747C5832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2D8BA" w14:textId="61507697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13202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859C9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92C70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6CABC47" w14:textId="554F1DD8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AA5B661" w14:textId="5C8E2C8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5EC3" w14:textId="5B0C6D9B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A292C" w14:textId="78CFE83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A37A8" w14:textId="4BF2685E" w:rsidR="00311024" w:rsidRPr="00D77B65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</w:tr>
      <w:tr w:rsidR="00311024" w:rsidRPr="00D77B65" w14:paraId="481B73E5" w14:textId="77777777" w:rsidTr="00824D33">
        <w:trPr>
          <w:trHeight w:val="4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490D" w14:textId="7AE4F467" w:rsidR="00311024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  <w:r w:rsidR="0098605C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(Bundling)</w:t>
            </w:r>
          </w:p>
          <w:p w14:paraId="3C8108AE" w14:textId="750405CB" w:rsidR="00824D33" w:rsidRDefault="00824D33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0: (12, 13, 0, 1)</w:t>
            </w:r>
          </w:p>
          <w:p w14:paraId="365F3143" w14:textId="7A917312" w:rsidR="00824D33" w:rsidRDefault="00824D33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1: (2, 3, 4, 5)</w:t>
            </w:r>
          </w:p>
          <w:p w14:paraId="38F862BD" w14:textId="3775DD98" w:rsidR="00824D33" w:rsidRDefault="00824D33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2: (6, 7, 8, 9)</w:t>
            </w:r>
          </w:p>
          <w:p w14:paraId="185D6D07" w14:textId="19976EDF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C715F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61C74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E9143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7B2BF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1297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FCF0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55C56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3B43C91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4843AAD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DAEF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AE5BA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07C9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35D1E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84374" w14:textId="064BBC7B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0A722" w14:textId="113A31AD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A4934" w14:textId="77777777" w:rsidR="00311024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  <w:p w14:paraId="5DD9D95D" w14:textId="77777777" w:rsidR="00BD7961" w:rsidRDefault="00BD796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3922EC2B" w14:textId="77777777" w:rsidR="00BD7961" w:rsidRDefault="00BD7961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56A8B611" w14:textId="56D4B4A4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E4E6C" w14:textId="7539E95C" w:rsidR="00311024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  <w:p w14:paraId="49BA6ABA" w14:textId="77777777" w:rsidR="00824D33" w:rsidRDefault="00824D33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27AC1A3E" w14:textId="77777777" w:rsidR="00106882" w:rsidRDefault="00106882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215D878A" w14:textId="54F3CA7E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832E6AA" w14:textId="6F727B10" w:rsidR="00311024" w:rsidRDefault="00A40FBC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  <w:p w14:paraId="15E80BF4" w14:textId="77777777" w:rsidR="00824D33" w:rsidRDefault="00824D33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1B7BAB87" w14:textId="77777777" w:rsidR="00106882" w:rsidRDefault="00106882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1C25790D" w14:textId="372EDA5B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4A198E0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2A936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23C4F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0654F" w14:textId="77777777" w:rsidR="00311024" w:rsidRPr="00D77B65" w:rsidRDefault="00311024" w:rsidP="003110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F3C6E73" w14:textId="2B7332E4" w:rsidR="00666F7A" w:rsidRDefault="00666F7A" w:rsidP="00DE0439">
      <w:pPr>
        <w:jc w:val="both"/>
        <w:rPr>
          <w:rFonts w:eastAsia="Calibri"/>
        </w:rPr>
      </w:pPr>
    </w:p>
    <w:p w14:paraId="5D5A5210" w14:textId="199EDAAF" w:rsidR="00A40FBC" w:rsidRDefault="00A40FBC" w:rsidP="00A40FBC">
      <w:pPr>
        <w:jc w:val="both"/>
        <w:rPr>
          <w:rFonts w:eastAsia="Calibri"/>
        </w:rPr>
      </w:pPr>
      <w:r w:rsidRPr="00CD024A">
        <w:rPr>
          <w:rFonts w:eastAsia="Calibri"/>
        </w:rPr>
        <w:lastRenderedPageBreak/>
        <w:t xml:space="preserve">The time progression of </w:t>
      </w:r>
      <w:r>
        <w:rPr>
          <w:rFonts w:eastAsia="Calibri"/>
        </w:rPr>
        <w:t xml:space="preserve">2) </w:t>
      </w:r>
      <w:r w:rsidRPr="00CD024A">
        <w:rPr>
          <w:rFonts w:eastAsia="Calibri"/>
        </w:rPr>
        <w:t>continues below</w:t>
      </w:r>
      <w:r>
        <w:rPr>
          <w:rFonts w:eastAsia="Calibri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10"/>
        <w:gridCol w:w="305"/>
        <w:gridCol w:w="305"/>
        <w:gridCol w:w="305"/>
        <w:gridCol w:w="305"/>
        <w:gridCol w:w="305"/>
        <w:gridCol w:w="305"/>
        <w:gridCol w:w="305"/>
        <w:gridCol w:w="30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A40FBC" w:rsidRPr="00D77B65" w14:paraId="2F07F762" w14:textId="77777777" w:rsidTr="00B713B9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2B880" w14:textId="77777777" w:rsidR="00A40FBC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2) 14 HARQ processes in presence of as few as 2 non-BL/CE </w:t>
            </w:r>
            <w:r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DL </w:t>
            </w: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>subframes</w:t>
            </w:r>
          </w:p>
          <w:p w14:paraId="530CF2D8" w14:textId="77777777" w:rsidR="00A40FBC" w:rsidRPr="00A16B7C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</w:p>
          <w:p w14:paraId="32CD3B56" w14:textId="1E61D30B" w:rsidR="00A40FBC" w:rsidRPr="000E1C28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2400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fdd-DownlinkOrTddSubframeBitmapBR-r13 = 1 1 1 1 1 1 1 0 0 1</w:t>
            </w:r>
          </w:p>
        </w:tc>
        <w:tc>
          <w:tcPr>
            <w:tcW w:w="0" w:type="auto"/>
            <w:gridSpan w:val="2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6A172E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  <w:tr w:rsidR="00A40FBC" w:rsidRPr="00D77B65" w14:paraId="5B111449" w14:textId="77777777" w:rsidTr="00EE79A6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42DE" w14:textId="77777777" w:rsidR="00A40FBC" w:rsidRPr="00D84AC3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FE342B0">
              <w:rPr>
                <w:rFonts w:ascii="Calibri" w:hAnsi="Calibri" w:cs="Calibri"/>
                <w:color w:val="000000" w:themeColor="text1"/>
                <w:sz w:val="16"/>
                <w:szCs w:val="16"/>
                <w:highlight w:val="yellow"/>
                <w:lang w:val="en-US" w:eastAsia="zh-CN"/>
              </w:rPr>
              <w:t>Non-BL/CE DL subframes</w:t>
            </w:r>
            <w:r>
              <w:rPr>
                <w:rFonts w:ascii="Calibri" w:hAnsi="Calibri" w:cs="Calibri"/>
                <w:color w:val="000000" w:themeColor="text1"/>
                <w:sz w:val="16"/>
                <w:szCs w:val="16"/>
                <w:lang w:val="en-US" w:eastAsia="zh-CN"/>
              </w:rPr>
              <w:t xml:space="preserve"> are illustrated using “0”.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1771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06E4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458D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FB35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D095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D10C409" w14:textId="58A0DE46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73D7A4A" w14:textId="161B7B26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94DBD" w14:textId="679F7952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11DD" w14:textId="137CA36F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2530E" w14:textId="08299D1E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91F05" w14:textId="2552CB16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7E20D" w14:textId="5740E20A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7E165" w14:textId="4C9E57DB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E9CE8" w14:textId="3D9FDE86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6597B" w14:textId="4470CC40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DF39E6B" w14:textId="196B4798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6116DCD" w14:textId="71975454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E1FEC" w14:textId="01AB8B43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B8165" w14:textId="4E326D83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FBF4F" w14:textId="3BA1CD71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AF558" w14:textId="3C4AAE51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2FAEC" w14:textId="32089334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A40FBC" w:rsidRPr="00D77B65" w14:paraId="09841486" w14:textId="77777777" w:rsidTr="00EE79A6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2B95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BEA9" w14:textId="277541BC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1078" w14:textId="40711FA0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927A" w14:textId="03DFBBEA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25B6" w14:textId="47FEEF3D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BDB0" w14:textId="45460136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68BEB78" w14:textId="7712438B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0D52EF6" w14:textId="7CA2B268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78170" w14:textId="2D0ABB96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D7903" w14:textId="4BB04AD2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81AF7" w14:textId="325E4E2D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F5C62" w14:textId="6D62003F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7EFBE" w14:textId="76105AE6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54B8D" w14:textId="4BE0B7D0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0400E" w14:textId="0B9737F6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63F23" w14:textId="234A2AD1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8810AB1" w14:textId="1D388BDB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983EE22" w14:textId="6CB0E995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37347" w14:textId="3964BDA5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A5E55" w14:textId="5CD94D2F" w:rsidR="00A40FBC" w:rsidRPr="005906C0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5906C0">
              <w:rPr>
                <w:rFonts w:ascii="Calibri" w:hAnsi="Calibri" w:cs="Calibri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1C02A" w14:textId="0D3F558F" w:rsidR="00A40FBC" w:rsidRPr="005906C0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5906C0">
              <w:rPr>
                <w:rFonts w:ascii="Calibri" w:hAnsi="Calibri" w:cs="Calibri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EA92" w14:textId="3D139942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4984F" w14:textId="056C5268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43</w:t>
            </w:r>
          </w:p>
        </w:tc>
      </w:tr>
      <w:tr w:rsidR="00A40FBC" w:rsidRPr="00D77B65" w14:paraId="1C8FA40A" w14:textId="77777777" w:rsidTr="00EE79A6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1C0B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490C9" w14:textId="778377B1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3511A" w14:textId="7DC39328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B235D" w14:textId="2B949845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8AD95" w14:textId="1C2D8044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7FE46" w14:textId="627EF19F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8A2B8C4" w14:textId="1650E64E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5972247" w14:textId="2D399D36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AC6ED" w14:textId="470D1AD4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305C" w14:textId="06619221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23774" w14:textId="505336B1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6248C" w14:textId="075168CE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4ECAC" w14:textId="3E419690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845D8" w14:textId="2EAF109E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C549F" w14:textId="22F6334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39D8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932E464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070B0C2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9F9E9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54E03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EB849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9146" w14:textId="145A2084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21294" w14:textId="73434A97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A40FBC" w:rsidRPr="00D77B65" w14:paraId="6A97F007" w14:textId="77777777" w:rsidTr="00EE79A6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D92A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C0FAD" w14:textId="476F57A2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3D83" w14:textId="362E7C21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E8004" w14:textId="38C6EC76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E07D" w14:textId="0735EB74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DE1E2" w14:textId="1F043C3F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EF5B5A" w14:textId="2075D358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3906F62" w14:textId="2B3B63F1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E097A" w14:textId="10E08DE0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E3F00" w14:textId="21DD85C5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3A6E3" w14:textId="087167A3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1BAC" w14:textId="04BAE7DE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05AB7" w14:textId="11BB3E6E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1864" w14:textId="25C4847D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57C1D" w14:textId="389FEEF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71876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4223BFD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0641994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5ECE1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D2A5C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F039C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38A2" w14:textId="02181C5C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B8B33" w14:textId="380BCD27" w:rsidR="00A40FBC" w:rsidRPr="00D77B65" w:rsidRDefault="00EE79A6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</w:tr>
      <w:tr w:rsidR="00A40FBC" w:rsidRPr="00D77B65" w14:paraId="3DE5DAE5" w14:textId="77777777" w:rsidTr="00EE79A6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5019" w14:textId="77777777" w:rsidR="00A40FBC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(Bundling)</w:t>
            </w:r>
          </w:p>
          <w:p w14:paraId="79E9BBBF" w14:textId="2D6FD774" w:rsidR="00824D33" w:rsidRDefault="00824D33" w:rsidP="00824D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0: (10, 11, 0, 1)</w:t>
            </w:r>
          </w:p>
          <w:p w14:paraId="16D4799D" w14:textId="77777777" w:rsidR="00824D33" w:rsidRDefault="00824D33" w:rsidP="00824D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1: (2, 3, 4, 5)</w:t>
            </w:r>
          </w:p>
          <w:p w14:paraId="704A2CD0" w14:textId="77777777" w:rsidR="00824D33" w:rsidRDefault="00824D33" w:rsidP="00824D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2: (6, 7, 8, 9)</w:t>
            </w:r>
          </w:p>
          <w:p w14:paraId="5C453AE8" w14:textId="42FE2856" w:rsidR="00824D33" w:rsidRPr="00D77B65" w:rsidRDefault="00824D33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1C76C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C5EB6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A5C37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05344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734C3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0C00D9C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2D6DB62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B23E8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D44F0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A73DF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BECD4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97169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08E4D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012EA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C2304" w14:textId="342E9E6B" w:rsidR="00106882" w:rsidRDefault="00824D33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  <w:p w14:paraId="7B8035D3" w14:textId="5924BA82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7113EDBB" w14:textId="23F8384D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0494AD21" w14:textId="77777777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4562670F" w14:textId="3FFC0C2E" w:rsidR="00824D33" w:rsidRPr="00D77B65" w:rsidRDefault="00824D33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AC959B9" w14:textId="1A74EEF4" w:rsidR="00A40FBC" w:rsidRDefault="00824D33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  <w:p w14:paraId="12FFD8B1" w14:textId="623AAACD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7FB776B3" w14:textId="759B91A1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6C2ED016" w14:textId="77777777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6B18924C" w14:textId="511BE492" w:rsidR="00106882" w:rsidRPr="00D77B65" w:rsidRDefault="00106882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BA8E55D" w14:textId="67578921" w:rsidR="00106882" w:rsidRDefault="00824D33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  <w:p w14:paraId="2434AF66" w14:textId="270F4EAF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114A6392" w14:textId="1372A780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309098AA" w14:textId="77777777" w:rsidR="003B34F9" w:rsidRDefault="003B34F9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  <w:p w14:paraId="28B1645F" w14:textId="60000411" w:rsidR="00824D33" w:rsidRPr="00D77B65" w:rsidRDefault="00824D33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4669B" w14:textId="633992AF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116D4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5D101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FF54C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2799" w14:textId="77777777" w:rsidR="00A40FBC" w:rsidRPr="00D77B65" w:rsidRDefault="00A40FBC" w:rsidP="001068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7D74217A" w14:textId="77777777" w:rsidR="00A40FBC" w:rsidRDefault="00A40FBC" w:rsidP="00DE0439">
      <w:pPr>
        <w:jc w:val="both"/>
        <w:rPr>
          <w:rFonts w:eastAsia="Calibri"/>
        </w:rPr>
      </w:pPr>
    </w:p>
    <w:p w14:paraId="5967D9F1" w14:textId="42E182B9" w:rsidR="00C7061E" w:rsidRDefault="00D20A66" w:rsidP="00DE0439">
      <w:pPr>
        <w:jc w:val="both"/>
        <w:rPr>
          <w:rFonts w:eastAsia="Calibri"/>
        </w:rPr>
      </w:pPr>
      <w:bookmarkStart w:id="12" w:name="_Hlk49939656"/>
      <w:r>
        <w:rPr>
          <w:rFonts w:eastAsia="Calibri"/>
        </w:rPr>
        <w:t>If</w:t>
      </w:r>
      <w:r w:rsidR="0004334D">
        <w:rPr>
          <w:rFonts w:eastAsia="Calibri"/>
        </w:rPr>
        <w:t xml:space="preserve"> the 14 HARQ processes feature handles a scenario having as few as 2 non-BL/CE DL subframes in the same way</w:t>
      </w:r>
      <w:r w:rsidR="00645786">
        <w:rPr>
          <w:rFonts w:eastAsia="Calibri"/>
        </w:rPr>
        <w:t xml:space="preserve"> as</w:t>
      </w:r>
      <w:r w:rsidR="0004334D">
        <w:rPr>
          <w:rFonts w:eastAsia="Calibri"/>
        </w:rPr>
        <w:t xml:space="preserve"> it handles an ideal scenario</w:t>
      </w:r>
      <w:bookmarkEnd w:id="12"/>
      <w:r w:rsidR="0004334D">
        <w:rPr>
          <w:rFonts w:eastAsia="Calibri"/>
        </w:rPr>
        <w:t>, then</w:t>
      </w:r>
      <w:r>
        <w:rPr>
          <w:rFonts w:eastAsia="Calibri"/>
        </w:rPr>
        <w:t xml:space="preserve"> as illustrated above</w:t>
      </w:r>
      <w:r w:rsidR="0004334D">
        <w:rPr>
          <w:rFonts w:eastAsia="Calibri"/>
        </w:rPr>
        <w:t xml:space="preserve"> there will be an unnecessary delay </w:t>
      </w:r>
      <w:r>
        <w:rPr>
          <w:rFonts w:eastAsia="Calibri"/>
        </w:rPr>
        <w:t>on</w:t>
      </w:r>
      <w:r w:rsidR="0004334D">
        <w:rPr>
          <w:rFonts w:eastAsia="Calibri"/>
        </w:rPr>
        <w:t xml:space="preserve"> the HARQ</w:t>
      </w:r>
      <w:r w:rsidR="00645786">
        <w:rPr>
          <w:rFonts w:eastAsia="Calibri"/>
        </w:rPr>
        <w:t xml:space="preserve"> </w:t>
      </w:r>
      <w:r w:rsidR="0004334D">
        <w:rPr>
          <w:rFonts w:eastAsia="Calibri"/>
        </w:rPr>
        <w:t>process</w:t>
      </w:r>
      <w:r w:rsidR="00645786">
        <w:rPr>
          <w:rFonts w:eastAsia="Calibri"/>
        </w:rPr>
        <w:t>es</w:t>
      </w:r>
      <w:r w:rsidR="0004334D">
        <w:rPr>
          <w:rFonts w:eastAsia="Calibri"/>
        </w:rPr>
        <w:t xml:space="preserve"> pattern that will impact the achievable peak data rate</w:t>
      </w:r>
      <w:r w:rsidR="00645786">
        <w:rPr>
          <w:rFonts w:eastAsia="Calibri"/>
        </w:rPr>
        <w:t xml:space="preserve"> which will go </w:t>
      </w:r>
      <w:r w:rsidR="00645786" w:rsidRPr="00645786">
        <w:rPr>
          <w:rFonts w:eastAsia="Calibri"/>
        </w:rPr>
        <w:t xml:space="preserve">down </w:t>
      </w:r>
      <w:r w:rsidR="00645786" w:rsidRPr="00645786">
        <w:rPr>
          <w:rFonts w:eastAsia="Calibri"/>
          <w:lang w:val="en-US"/>
        </w:rPr>
        <w:t xml:space="preserve">to </w:t>
      </w:r>
      <w:r w:rsidR="00E928E8">
        <w:rPr>
          <w:rFonts w:eastAsia="Calibri"/>
          <w:lang w:val="en-US"/>
        </w:rPr>
        <w:t>571</w:t>
      </w:r>
      <w:r w:rsidR="00645786" w:rsidRPr="00645786">
        <w:rPr>
          <w:rFonts w:eastAsia="Calibri"/>
          <w:lang w:val="en-US"/>
        </w:rPr>
        <w:t xml:space="preserve"> </w:t>
      </w:r>
      <w:r w:rsidR="00DC410E">
        <w:rPr>
          <w:rFonts w:eastAsia="Calibri"/>
          <w:lang w:val="en-US"/>
        </w:rPr>
        <w:t>K</w:t>
      </w:r>
      <w:r w:rsidR="00645786" w:rsidRPr="00645786">
        <w:rPr>
          <w:rFonts w:eastAsia="Calibri"/>
          <w:lang w:val="en-US"/>
        </w:rPr>
        <w:t>bps</w:t>
      </w:r>
      <w:r w:rsidR="0004334D">
        <w:rPr>
          <w:rFonts w:eastAsia="Calibri"/>
        </w:rPr>
        <w:t>.</w:t>
      </w:r>
      <w:r w:rsidR="00415D8C">
        <w:rPr>
          <w:rFonts w:eastAsia="Calibri"/>
        </w:rPr>
        <w:t xml:space="preserve"> </w:t>
      </w:r>
    </w:p>
    <w:p w14:paraId="2A712535" w14:textId="2CE6AB99" w:rsidR="0004334D" w:rsidRDefault="00415D8C" w:rsidP="00DE0439">
      <w:pPr>
        <w:jc w:val="both"/>
        <w:rPr>
          <w:rFonts w:eastAsia="Calibri"/>
        </w:rPr>
      </w:pPr>
      <w:r>
        <w:rPr>
          <w:rFonts w:eastAsia="Calibri"/>
        </w:rPr>
        <w:t xml:space="preserve">Moreover, </w:t>
      </w:r>
      <w:r w:rsidRPr="00415D8C">
        <w:rPr>
          <w:rFonts w:eastAsia="Calibri"/>
        </w:rPr>
        <w:t>the larger the presence of non-BL/CE subframes the lower will be the achievable peak data rate</w:t>
      </w:r>
      <w:r>
        <w:rPr>
          <w:rFonts w:eastAsia="Calibri"/>
        </w:rPr>
        <w:t xml:space="preserve">, Table 5 </w:t>
      </w:r>
      <w:r w:rsidR="00C42E41">
        <w:rPr>
          <w:rFonts w:eastAsia="Calibri"/>
        </w:rPr>
        <w:t xml:space="preserve">illustrates </w:t>
      </w:r>
      <w:r w:rsidR="00C42E41" w:rsidRPr="00B559C8">
        <w:rPr>
          <w:rFonts w:eastAsia="Calibri"/>
          <w:color w:val="ED7D31" w:themeColor="accent2"/>
        </w:rPr>
        <w:t xml:space="preserve">the presence of </w:t>
      </w:r>
      <w:r w:rsidR="008E2A16" w:rsidRPr="00B559C8">
        <w:rPr>
          <w:rFonts w:eastAsia="Calibri"/>
          <w:color w:val="ED7D31" w:themeColor="accent2"/>
        </w:rPr>
        <w:t>five</w:t>
      </w:r>
      <w:r w:rsidR="00C42E41" w:rsidRPr="00B559C8">
        <w:rPr>
          <w:rFonts w:eastAsia="Calibri"/>
          <w:color w:val="ED7D31" w:themeColor="accent2"/>
        </w:rPr>
        <w:t xml:space="preserve"> non-BL CE/DL subframes </w:t>
      </w:r>
      <w:r w:rsidR="00C42E41">
        <w:rPr>
          <w:rFonts w:eastAsia="Calibri"/>
        </w:rPr>
        <w:t xml:space="preserve">which </w:t>
      </w:r>
      <w:r w:rsidR="00C42E41" w:rsidRPr="00B559C8">
        <w:rPr>
          <w:rFonts w:eastAsia="Calibri"/>
          <w:color w:val="ED7D31" w:themeColor="accent2"/>
        </w:rPr>
        <w:t>will cause a further decrease in through</w:t>
      </w:r>
      <w:r w:rsidR="00E53F7D">
        <w:rPr>
          <w:rFonts w:eastAsia="Calibri"/>
          <w:color w:val="ED7D31" w:themeColor="accent2"/>
        </w:rPr>
        <w:t>put</w:t>
      </w:r>
      <w:r w:rsidR="00C42E41" w:rsidRPr="00B559C8">
        <w:rPr>
          <w:rFonts w:eastAsia="Calibri"/>
          <w:color w:val="ED7D31" w:themeColor="accent2"/>
        </w:rPr>
        <w:t xml:space="preserve"> from 706 </w:t>
      </w:r>
      <w:r w:rsidR="00DC410E" w:rsidRPr="00B559C8">
        <w:rPr>
          <w:rFonts w:eastAsia="Calibri"/>
          <w:color w:val="ED7D31" w:themeColor="accent2"/>
        </w:rPr>
        <w:t>K</w:t>
      </w:r>
      <w:r w:rsidR="00C42E41" w:rsidRPr="00B559C8">
        <w:rPr>
          <w:rFonts w:eastAsia="Calibri"/>
          <w:color w:val="ED7D31" w:themeColor="accent2"/>
        </w:rPr>
        <w:t>b</w:t>
      </w:r>
      <w:r w:rsidR="00C7061E" w:rsidRPr="00B559C8">
        <w:rPr>
          <w:rFonts w:eastAsia="Calibri"/>
          <w:color w:val="ED7D31" w:themeColor="accent2"/>
        </w:rPr>
        <w:t>p</w:t>
      </w:r>
      <w:r w:rsidR="00C42E41" w:rsidRPr="00B559C8">
        <w:rPr>
          <w:rFonts w:eastAsia="Calibri"/>
          <w:color w:val="ED7D31" w:themeColor="accent2"/>
        </w:rPr>
        <w:t xml:space="preserve">s to </w:t>
      </w:r>
      <w:r w:rsidR="00875D66" w:rsidRPr="00B559C8">
        <w:rPr>
          <w:rFonts w:eastAsia="Calibri"/>
          <w:color w:val="ED7D31" w:themeColor="accent2"/>
        </w:rPr>
        <w:t>375</w:t>
      </w:r>
      <w:r w:rsidR="00C42E41" w:rsidRPr="00B559C8">
        <w:rPr>
          <w:rFonts w:eastAsia="Calibri"/>
          <w:color w:val="ED7D31" w:themeColor="accent2"/>
        </w:rPr>
        <w:t xml:space="preserve"> </w:t>
      </w:r>
      <w:r w:rsidR="00DC410E" w:rsidRPr="00B559C8">
        <w:rPr>
          <w:rFonts w:eastAsia="Calibri"/>
          <w:color w:val="ED7D31" w:themeColor="accent2"/>
        </w:rPr>
        <w:t>K</w:t>
      </w:r>
      <w:r w:rsidR="00C42E41" w:rsidRPr="00B559C8">
        <w:rPr>
          <w:rFonts w:eastAsia="Calibri"/>
          <w:color w:val="ED7D31" w:themeColor="accent2"/>
        </w:rPr>
        <w:t>bps</w:t>
      </w:r>
      <w:r w:rsidR="00C42E41">
        <w:rPr>
          <w:rFonts w:eastAsia="Calibri"/>
        </w:rPr>
        <w:t>.</w:t>
      </w:r>
    </w:p>
    <w:p w14:paraId="2A6BA3CE" w14:textId="4D1A42C4" w:rsidR="00415D8C" w:rsidRPr="00A82237" w:rsidRDefault="00415D8C" w:rsidP="00415D8C">
      <w:pPr>
        <w:jc w:val="center"/>
        <w:rPr>
          <w:b/>
          <w:bCs/>
        </w:rPr>
      </w:pPr>
      <w:r w:rsidRPr="00A82237">
        <w:rPr>
          <w:b/>
          <w:bCs/>
        </w:rPr>
        <w:t xml:space="preserve">Table 5: 14 HARQ processes using HARQ-ACK </w:t>
      </w:r>
      <w:r w:rsidR="000E1C28" w:rsidRPr="00A82237">
        <w:rPr>
          <w:b/>
          <w:bCs/>
        </w:rPr>
        <w:t>bundling i</w:t>
      </w:r>
      <w:r w:rsidRPr="00A82237">
        <w:rPr>
          <w:b/>
          <w:bCs/>
        </w:rPr>
        <w:t xml:space="preserve">n presence of </w:t>
      </w:r>
      <w:r w:rsidR="00875D66" w:rsidRPr="00A82237">
        <w:rPr>
          <w:b/>
          <w:bCs/>
        </w:rPr>
        <w:t>five</w:t>
      </w:r>
      <w:r w:rsidRPr="00A82237">
        <w:rPr>
          <w:b/>
          <w:bCs/>
        </w:rPr>
        <w:t xml:space="preserve"> non-BL/CE DL subframes.</w:t>
      </w:r>
    </w:p>
    <w:p w14:paraId="7CAA0778" w14:textId="77777777" w:rsidR="00415D8C" w:rsidRDefault="00415D8C" w:rsidP="00415D8C">
      <w:pPr>
        <w:spacing w:after="0"/>
        <w:jc w:val="both"/>
        <w:rPr>
          <w:rFonts w:eastAsia="Calibr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426"/>
        <w:gridCol w:w="425"/>
        <w:gridCol w:w="295"/>
        <w:gridCol w:w="305"/>
        <w:gridCol w:w="305"/>
        <w:gridCol w:w="305"/>
        <w:gridCol w:w="305"/>
        <w:gridCol w:w="305"/>
        <w:gridCol w:w="305"/>
        <w:gridCol w:w="305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400"/>
      </w:tblGrid>
      <w:tr w:rsidR="00875D66" w:rsidRPr="00D77B65" w14:paraId="6160467C" w14:textId="77777777" w:rsidTr="00B713B9">
        <w:trPr>
          <w:trHeight w:val="23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5C99B" w14:textId="77777777" w:rsidR="00875D66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2) 14 HARQ processes in presence of as few as 2 non-BL/CE </w:t>
            </w:r>
            <w:r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DL </w:t>
            </w: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>subframes</w:t>
            </w:r>
          </w:p>
          <w:p w14:paraId="4E64122E" w14:textId="77777777" w:rsidR="00875D66" w:rsidRPr="00A16B7C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</w:p>
          <w:p w14:paraId="701A4480" w14:textId="29EA100F" w:rsidR="00875D66" w:rsidRPr="000E1C28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2400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fdd-DownlinkOrTddSubframeBitmapBR-r13 = 1 1 1 1 </w:t>
            </w:r>
            <w:r w:rsidR="001B1AD0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0 0 0</w:t>
            </w:r>
            <w:r w:rsidRPr="00A2400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 0 0 1</w:t>
            </w:r>
          </w:p>
        </w:tc>
        <w:tc>
          <w:tcPr>
            <w:tcW w:w="7938" w:type="dxa"/>
            <w:gridSpan w:val="2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C2E1E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  <w:tr w:rsidR="00875D66" w:rsidRPr="00D77B65" w14:paraId="034B4AB0" w14:textId="77777777" w:rsidTr="00A51208">
        <w:trPr>
          <w:trHeight w:val="23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E368" w14:textId="77777777" w:rsidR="00875D66" w:rsidRPr="00D84AC3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FE342B0">
              <w:rPr>
                <w:rFonts w:ascii="Calibri" w:hAnsi="Calibri" w:cs="Calibri"/>
                <w:color w:val="000000" w:themeColor="text1"/>
                <w:sz w:val="16"/>
                <w:szCs w:val="16"/>
                <w:highlight w:val="yellow"/>
                <w:lang w:val="en-US" w:eastAsia="zh-CN"/>
              </w:rPr>
              <w:t>Non-BL/CE DL subframes</w:t>
            </w:r>
            <w:r>
              <w:rPr>
                <w:rFonts w:ascii="Calibri" w:hAnsi="Calibri" w:cs="Calibri"/>
                <w:color w:val="000000" w:themeColor="text1"/>
                <w:sz w:val="16"/>
                <w:szCs w:val="16"/>
                <w:lang w:val="en-US" w:eastAsia="zh-CN"/>
              </w:rPr>
              <w:t xml:space="preserve"> are illustrated using “0”.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D6E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8E9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25AD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2A20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435E404" w14:textId="3B791FA9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27957D9" w14:textId="03CF5D05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42C1D56" w14:textId="5C28BBC0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B6E4F9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1F074E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9C7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CBC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D0B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7390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43E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5E3315C" w14:textId="27551757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7E98FF5" w14:textId="0669277F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6447575" w14:textId="6234810D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B5ADFF9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84F1E75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67E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533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75E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875D66" w:rsidRPr="00D77B65" w14:paraId="76B7FEE0" w14:textId="77777777" w:rsidTr="00A51208">
        <w:trPr>
          <w:trHeight w:val="23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F4E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961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B0DE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1D8D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691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9095A0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6D024C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A2086E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CE4B2E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CB0E17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B65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8639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DEE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CFA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6859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3CFE8D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A246B0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22ACD2D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F0E04D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7DBE57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3B9A" w14:textId="77777777" w:rsidR="00875D66" w:rsidRPr="00A51208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A51208">
              <w:rPr>
                <w:rFonts w:ascii="Calibri" w:hAnsi="Calibri" w:cs="Calibri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6016" w14:textId="77777777" w:rsidR="00875D66" w:rsidRPr="00A51208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A51208">
              <w:rPr>
                <w:rFonts w:ascii="Calibri" w:hAnsi="Calibri" w:cs="Calibri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D70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21</w:t>
            </w:r>
          </w:p>
        </w:tc>
      </w:tr>
      <w:tr w:rsidR="00875D66" w:rsidRPr="00D77B65" w14:paraId="5B60E84A" w14:textId="77777777" w:rsidTr="00A51208">
        <w:trPr>
          <w:trHeight w:val="23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DC7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AF20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3F6F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66ED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6495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BD7E998" w14:textId="79191472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5292A08" w14:textId="4ED26928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73E6F7D" w14:textId="762399DB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147EE8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F97260E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BE5F0" w14:textId="2FD2E8D5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15F5" w14:textId="3D774946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435D1" w14:textId="78CA6B6A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15649" w14:textId="4202904A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813AD" w14:textId="5CDF97D4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D478F90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D5B7E99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A14940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27F2E9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42B98E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65A72" w14:textId="3B2EEBE3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908B" w14:textId="441839F5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E0921" w14:textId="7FA16F01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</w:tr>
      <w:tr w:rsidR="00875D66" w:rsidRPr="00D77B65" w14:paraId="7A9E2103" w14:textId="77777777" w:rsidTr="00A51208">
        <w:trPr>
          <w:trHeight w:val="23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4CA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5807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B20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1352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0D4E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943D964" w14:textId="7ABFA4A5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AF78B67" w14:textId="6F1B05EF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5ABB01F" w14:textId="52324F5A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6906B4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D7184A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BA58E" w14:textId="1642D42D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B2814" w14:textId="5A9AA41D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D6BE5" w14:textId="78E410D0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07DB" w14:textId="7227C943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74A54" w14:textId="76536309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47B566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AAE77B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34BB6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C06DA5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DF295E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E2446" w14:textId="0DDD5C85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26B57" w14:textId="0E80471C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CE79C" w14:textId="7D94945A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</w:tr>
      <w:tr w:rsidR="00875D66" w:rsidRPr="00D77B65" w14:paraId="54D9EA1C" w14:textId="77777777" w:rsidTr="00A51208">
        <w:trPr>
          <w:trHeight w:val="4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6C06" w14:textId="77777777" w:rsidR="00875D66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(Bundling)</w:t>
            </w:r>
          </w:p>
          <w:p w14:paraId="55FBD54D" w14:textId="77777777" w:rsidR="00875D66" w:rsidRPr="00D77B65" w:rsidRDefault="00875D66" w:rsidP="0068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2C78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CAC9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5884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8DB0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097D5A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BECBC1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3F8965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2ABAB1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ECE9EDE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16F8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FBC4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782EE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6BDB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62AE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6FE815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6D9BB2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967B5E0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BBC3449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E2EC835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3847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E136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A995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789C787B" w14:textId="784C9850" w:rsidR="00415D8C" w:rsidRDefault="00415D8C" w:rsidP="00415D8C">
      <w:pPr>
        <w:jc w:val="both"/>
        <w:rPr>
          <w:rFonts w:eastAsia="Calibri"/>
        </w:rPr>
      </w:pPr>
    </w:p>
    <w:p w14:paraId="3813479C" w14:textId="22D61A1E" w:rsidR="00A7015F" w:rsidRDefault="00A7015F" w:rsidP="00A7015F">
      <w:pPr>
        <w:jc w:val="both"/>
        <w:rPr>
          <w:rFonts w:eastAsia="Calibri"/>
        </w:rPr>
      </w:pPr>
      <w:r w:rsidRPr="00CD024A">
        <w:rPr>
          <w:rFonts w:eastAsia="Calibri"/>
        </w:rPr>
        <w:t xml:space="preserve">The time progression of </w:t>
      </w:r>
      <w:r>
        <w:rPr>
          <w:rFonts w:eastAsia="Calibri"/>
        </w:rPr>
        <w:t xml:space="preserve">Table </w:t>
      </w:r>
      <w:r w:rsidR="00A12CC8">
        <w:rPr>
          <w:rFonts w:eastAsia="Calibri"/>
        </w:rPr>
        <w:t>5</w:t>
      </w:r>
      <w:r w:rsidRPr="00CD024A">
        <w:rPr>
          <w:rFonts w:eastAsia="Calibri"/>
        </w:rPr>
        <w:t xml:space="preserve"> continues below</w:t>
      </w:r>
      <w:r>
        <w:rPr>
          <w:rFonts w:eastAsia="Calibri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10"/>
        <w:gridCol w:w="305"/>
        <w:gridCol w:w="305"/>
        <w:gridCol w:w="305"/>
        <w:gridCol w:w="305"/>
        <w:gridCol w:w="305"/>
        <w:gridCol w:w="305"/>
        <w:gridCol w:w="305"/>
        <w:gridCol w:w="30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875D66" w:rsidRPr="00D77B65" w14:paraId="0E21EEDE" w14:textId="77777777" w:rsidTr="00B713B9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F47B4" w14:textId="77777777" w:rsidR="00875D66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2) 14 HARQ processes in presence of as few as 2 non-BL/CE </w:t>
            </w:r>
            <w:r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 xml:space="preserve">DL </w:t>
            </w:r>
            <w:r w:rsidRPr="00A16B7C">
              <w:rPr>
                <w:rFonts w:cs="Calibri"/>
                <w:color w:val="000000"/>
                <w:sz w:val="16"/>
                <w:szCs w:val="16"/>
                <w:lang w:val="en-US" w:eastAsia="zh-CN"/>
              </w:rPr>
              <w:t>subframes</w:t>
            </w:r>
          </w:p>
          <w:p w14:paraId="0F9EB17D" w14:textId="77777777" w:rsidR="00875D66" w:rsidRPr="00A16B7C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  <w:color w:val="000000"/>
                <w:sz w:val="16"/>
                <w:szCs w:val="16"/>
                <w:lang w:val="en-US" w:eastAsia="zh-CN"/>
              </w:rPr>
            </w:pPr>
          </w:p>
          <w:p w14:paraId="560BCDDE" w14:textId="1376D8BB" w:rsidR="00875D66" w:rsidRPr="000E1C28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A2400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fdd-DownlinkOrTddSubframeBitmapBR-r13 = 1 1 1 1 </w:t>
            </w:r>
            <w:r w:rsidR="008A49D0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0 0 0</w:t>
            </w:r>
            <w:r w:rsidRPr="00A24001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 xml:space="preserve"> 0 0 1</w:t>
            </w:r>
          </w:p>
        </w:tc>
        <w:tc>
          <w:tcPr>
            <w:tcW w:w="0" w:type="auto"/>
            <w:gridSpan w:val="2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E5A61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  <w:tr w:rsidR="00875D66" w:rsidRPr="00D77B65" w14:paraId="213DA058" w14:textId="77777777" w:rsidTr="00A51208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6FB3" w14:textId="77777777" w:rsidR="00875D66" w:rsidRPr="00D84AC3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FE342B0">
              <w:rPr>
                <w:rFonts w:ascii="Calibri" w:hAnsi="Calibri" w:cs="Calibri"/>
                <w:color w:val="000000" w:themeColor="text1"/>
                <w:sz w:val="16"/>
                <w:szCs w:val="16"/>
                <w:highlight w:val="yellow"/>
                <w:lang w:val="en-US" w:eastAsia="zh-CN"/>
              </w:rPr>
              <w:t>Non-BL/CE DL subframes</w:t>
            </w:r>
            <w:r>
              <w:rPr>
                <w:rFonts w:ascii="Calibri" w:hAnsi="Calibri" w:cs="Calibri"/>
                <w:color w:val="000000" w:themeColor="text1"/>
                <w:sz w:val="16"/>
                <w:szCs w:val="16"/>
                <w:lang w:val="en-US" w:eastAsia="zh-CN"/>
              </w:rPr>
              <w:t xml:space="preserve"> are illustrated using “0”.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F09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53B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003F67D" w14:textId="15EF79BA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313C193" w14:textId="2062B42F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7F5E5AB" w14:textId="2A547F5E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F789A70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0C99D8E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E311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E3DC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425B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819C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C385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4D6A6E8" w14:textId="6C06803F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9CE15DA" w14:textId="225F09D3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2294AE7" w14:textId="460A71EE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52B395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642912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7258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7E49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95D4D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D5B4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3292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875D66" w:rsidRPr="00D77B65" w14:paraId="5A21FA50" w14:textId="77777777" w:rsidTr="00A51208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232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E76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632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1DE299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D8AD9D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2D46AF9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A187FB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8E85E3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D3AE" w14:textId="77777777" w:rsidR="00875D66" w:rsidRPr="001E0FEC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1E0FEC">
              <w:rPr>
                <w:rFonts w:ascii="Calibri" w:hAnsi="Calibri" w:cs="Calibri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704F" w14:textId="77777777" w:rsidR="00875D66" w:rsidRPr="001E0FEC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1E0FEC">
              <w:rPr>
                <w:rFonts w:ascii="Calibri" w:hAnsi="Calibri" w:cs="Calibri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D6616" w14:textId="77777777" w:rsidR="00875D66" w:rsidRPr="001E0FEC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1E0FEC">
              <w:rPr>
                <w:rFonts w:ascii="Calibri" w:hAnsi="Calibri" w:cs="Calibri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163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BD72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0191D4D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E85E6A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1EF03D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973212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0CBAB1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0383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8CD00" w14:textId="77777777" w:rsidR="00875D66" w:rsidRPr="00A51208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A51208">
              <w:rPr>
                <w:rFonts w:ascii="Calibri" w:hAnsi="Calibri" w:cs="Calibri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D55FD" w14:textId="77777777" w:rsidR="00875D66" w:rsidRPr="00A51208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A51208">
              <w:rPr>
                <w:rFonts w:ascii="Calibri" w:hAnsi="Calibri" w:cs="Calibri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88E5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9B21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43</w:t>
            </w:r>
          </w:p>
        </w:tc>
      </w:tr>
      <w:tr w:rsidR="00875D66" w:rsidRPr="00D77B65" w14:paraId="4994CF77" w14:textId="77777777" w:rsidTr="00A51208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C6B9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0841F" w14:textId="1FFB5B26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955BB" w14:textId="6025AA19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BEAB0D0" w14:textId="2EF67BAE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58DF926" w14:textId="1BABF584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9BFBA0" w14:textId="228D240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510F446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67828C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02963" w14:textId="3D37D903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9A6C" w14:textId="2C8D2100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10ACF" w14:textId="47D76010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87E6B" w14:textId="141BEB6B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692D5" w14:textId="67DA6ECB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78BC58D" w14:textId="4ACFDFCA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82699B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BE33BF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77F9D8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5CB7CE4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314CA" w14:textId="092A320F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15AAF" w14:textId="03C829F8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0A21F" w14:textId="68F74202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86219" w14:textId="7774586B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81399" w14:textId="6F44A224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</w:tr>
      <w:tr w:rsidR="00875D66" w:rsidRPr="00D77B65" w14:paraId="2D4AA50D" w14:textId="77777777" w:rsidTr="00A51208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DDD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7A575" w14:textId="413669D8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32D47" w14:textId="08E48106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37CEA57" w14:textId="64646C13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A36D4A9" w14:textId="132743E5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489350E" w14:textId="38FE69A2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EC535D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EB0996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A0C1E" w14:textId="10A8DBA1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F8C94" w14:textId="2AF19333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0CDA6" w14:textId="05550D72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E48DF" w14:textId="691062B2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E7E9C" w14:textId="46D932A9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CDBFA38" w14:textId="67E277B8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E1AFE2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C93EBEA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1CE4521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13EC3A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4AE24" w14:textId="21A45B23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7811" w14:textId="487CB723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FE79D" w14:textId="15D73FE8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537CB" w14:textId="1B00ED6C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44B6" w14:textId="096C24B6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875D66" w:rsidRPr="00D77B65" w14:paraId="6786F8EA" w14:textId="77777777" w:rsidTr="00A51208">
        <w:trPr>
          <w:trHeight w:val="2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C0A3" w14:textId="77777777" w:rsidR="00875D66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(Bundling)</w:t>
            </w:r>
          </w:p>
          <w:p w14:paraId="6B296794" w14:textId="77777777" w:rsidR="00684630" w:rsidRDefault="00684630" w:rsidP="0068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0: (12, 13, 0, 1)</w:t>
            </w:r>
          </w:p>
          <w:p w14:paraId="2E779C0B" w14:textId="77777777" w:rsidR="00684630" w:rsidRDefault="00684630" w:rsidP="0068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1: (2, 3, 4, 5)</w:t>
            </w:r>
          </w:p>
          <w:p w14:paraId="7AC07F63" w14:textId="73D75CB1" w:rsidR="00875D66" w:rsidRPr="00D77B65" w:rsidRDefault="00684630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2: (6, 7, 8, 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3EA7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751B7" w14:textId="6DA7C700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4F6BBEF" w14:textId="5D24306D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894B397" w14:textId="770E43BD" w:rsidR="00875D66" w:rsidRPr="00D77B65" w:rsidRDefault="00A51208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BBA73A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AF4D385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D637213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C3E2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97D1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0BF3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53F82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287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EB7D0C0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CD015F8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40F85C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F423CA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607AF2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80EEF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1F2DE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EF4DC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456F7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920AB" w14:textId="77777777" w:rsidR="00875D66" w:rsidRPr="00D77B65" w:rsidRDefault="00875D66" w:rsidP="00CA20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D7C1B91" w14:textId="77777777" w:rsidR="00A7015F" w:rsidRDefault="00A7015F" w:rsidP="00415D8C">
      <w:pPr>
        <w:jc w:val="both"/>
        <w:rPr>
          <w:rFonts w:eastAsia="Calibri"/>
        </w:rPr>
      </w:pPr>
    </w:p>
    <w:p w14:paraId="273084BD" w14:textId="4A9F8A71" w:rsidR="000214FF" w:rsidRDefault="00A12CC8" w:rsidP="005906C0">
      <w:pPr>
        <w:pStyle w:val="Observation"/>
        <w:ind w:left="1701" w:hanging="1701"/>
        <w:rPr>
          <w:rFonts w:eastAsia="Calibri"/>
        </w:rPr>
      </w:pPr>
      <w:bookmarkStart w:id="13" w:name="_Toc54268319"/>
      <w:r>
        <w:rPr>
          <w:rFonts w:eastAsia="Calibri"/>
        </w:rPr>
        <w:t>I</w:t>
      </w:r>
      <w:r w:rsidRPr="00012339">
        <w:rPr>
          <w:rFonts w:eastAsia="Calibri"/>
        </w:rPr>
        <w:t>f the 14 HARQ processes feature handles non-BL/CE DL subframes in the same way as it handles an ideal scenario</w:t>
      </w:r>
      <w:r>
        <w:rPr>
          <w:rFonts w:eastAsia="Calibri"/>
        </w:rPr>
        <w:t xml:space="preserve">, then the </w:t>
      </w:r>
      <w:r w:rsidRPr="00012339">
        <w:rPr>
          <w:rFonts w:eastAsia="Calibri"/>
        </w:rPr>
        <w:t>peak data rate</w:t>
      </w:r>
      <w:r>
        <w:rPr>
          <w:rFonts w:eastAsia="Calibri"/>
        </w:rPr>
        <w:t xml:space="preserve"> will </w:t>
      </w:r>
      <w:r w:rsidR="00BA6ABD">
        <w:rPr>
          <w:rFonts w:eastAsia="Calibri"/>
        </w:rPr>
        <w:t>decrease</w:t>
      </w:r>
      <w:r>
        <w:rPr>
          <w:rFonts w:eastAsia="Calibri"/>
        </w:rPr>
        <w:t xml:space="preserve"> from 706</w:t>
      </w:r>
      <w:r w:rsidR="00DC410E">
        <w:rPr>
          <w:rFonts w:eastAsia="Calibri"/>
        </w:rPr>
        <w:t xml:space="preserve"> K</w:t>
      </w:r>
      <w:r>
        <w:rPr>
          <w:rFonts w:eastAsia="Calibri"/>
        </w:rPr>
        <w:t xml:space="preserve">bps </w:t>
      </w:r>
      <w:r w:rsidR="00BA6ABD" w:rsidRPr="00BA6ABD">
        <w:rPr>
          <w:rFonts w:eastAsia="Calibri"/>
        </w:rPr>
        <w:t xml:space="preserve">to </w:t>
      </w:r>
      <w:r w:rsidR="00E928E8">
        <w:rPr>
          <w:rFonts w:eastAsia="Calibri"/>
        </w:rPr>
        <w:t xml:space="preserve">571.5 </w:t>
      </w:r>
      <w:r w:rsidR="00DC410E">
        <w:rPr>
          <w:rFonts w:eastAsia="Calibri"/>
        </w:rPr>
        <w:t>K</w:t>
      </w:r>
      <w:r w:rsidR="00BA6ABD" w:rsidRPr="00BA6ABD">
        <w:rPr>
          <w:rFonts w:eastAsia="Calibri"/>
        </w:rPr>
        <w:t xml:space="preserve">bps and </w:t>
      </w:r>
      <w:r w:rsidR="00875D66">
        <w:rPr>
          <w:rFonts w:eastAsia="Calibri"/>
        </w:rPr>
        <w:t>37</w:t>
      </w:r>
      <w:r w:rsidR="00FB75A5">
        <w:rPr>
          <w:rFonts w:eastAsia="Calibri"/>
        </w:rPr>
        <w:t>5</w:t>
      </w:r>
      <w:r w:rsidR="00DC410E">
        <w:rPr>
          <w:rFonts w:eastAsia="Calibri"/>
        </w:rPr>
        <w:t xml:space="preserve"> K</w:t>
      </w:r>
      <w:r w:rsidR="00BA6ABD" w:rsidRPr="00BA6ABD">
        <w:rPr>
          <w:rFonts w:eastAsia="Calibri"/>
        </w:rPr>
        <w:t>bps when</w:t>
      </w:r>
      <w:r w:rsidR="00BA6ABD">
        <w:rPr>
          <w:rFonts w:eastAsia="Calibri"/>
        </w:rPr>
        <w:t xml:space="preserve"> there is a presence of</w:t>
      </w:r>
      <w:r w:rsidR="00BA6ABD" w:rsidRPr="00BA6ABD">
        <w:rPr>
          <w:rFonts w:eastAsia="Calibri"/>
        </w:rPr>
        <w:t xml:space="preserve"> two and </w:t>
      </w:r>
      <w:r w:rsidR="008E2A16">
        <w:rPr>
          <w:rFonts w:eastAsia="Calibri"/>
        </w:rPr>
        <w:t>five</w:t>
      </w:r>
      <w:r w:rsidR="00BA6ABD" w:rsidRPr="00BA6ABD">
        <w:rPr>
          <w:rFonts w:eastAsia="Calibri"/>
        </w:rPr>
        <w:t xml:space="preserve"> non-BL/CE DL subframes respective</w:t>
      </w:r>
      <w:r w:rsidR="00BA6ABD">
        <w:rPr>
          <w:rFonts w:eastAsia="Calibri"/>
        </w:rPr>
        <w:t>ly</w:t>
      </w:r>
      <w:r>
        <w:rPr>
          <w:rFonts w:eastAsia="Calibri"/>
        </w:rPr>
        <w:t>.</w:t>
      </w:r>
      <w:bookmarkEnd w:id="13"/>
    </w:p>
    <w:p w14:paraId="3D508C50" w14:textId="2366EC9B" w:rsidR="007A423E" w:rsidRPr="007A423E" w:rsidRDefault="007A423E" w:rsidP="007A423E">
      <w:pPr>
        <w:keepNext/>
        <w:keepLines/>
        <w:jc w:val="both"/>
        <w:rPr>
          <w:rFonts w:eastAsia="Calibri"/>
        </w:rPr>
      </w:pPr>
      <w:r>
        <w:rPr>
          <w:rFonts w:eastAsia="Calibri"/>
        </w:rPr>
        <w:t>T</w:t>
      </w:r>
      <w:r w:rsidRPr="007A423E">
        <w:rPr>
          <w:rFonts w:eastAsia="Calibri"/>
        </w:rPr>
        <w:t xml:space="preserve">he drop in peak data rate will be more severe </w:t>
      </w:r>
      <w:r>
        <w:rPr>
          <w:rFonts w:eastAsia="Calibri"/>
        </w:rPr>
        <w:t xml:space="preserve">for the 14 HARQ processes </w:t>
      </w:r>
      <w:r w:rsidRPr="007A423E">
        <w:rPr>
          <w:rFonts w:eastAsia="Calibri"/>
        </w:rPr>
        <w:t>because it requires longer delay(s) than legacy, the difference is that the new processes are subject to cross-scheduling (i.e., MPDCCH schedules a PDSCH that occurs after the PUCCHs). If an ideal 14 HARQ processes scheme</w:t>
      </w:r>
      <w:r>
        <w:rPr>
          <w:rFonts w:eastAsia="Calibri"/>
        </w:rPr>
        <w:t xml:space="preserve"> were standardized</w:t>
      </w:r>
      <w:r w:rsidRPr="007A423E">
        <w:rPr>
          <w:rFonts w:eastAsia="Calibri"/>
        </w:rPr>
        <w:t>, there will be unnecessary delays (i.e., wasted subframes) when the invalid subframes will happen to be nearby the cross-scheduled processes</w:t>
      </w:r>
      <w:r>
        <w:rPr>
          <w:rFonts w:eastAsia="Calibri"/>
        </w:rPr>
        <w:t>.</w:t>
      </w:r>
    </w:p>
    <w:p w14:paraId="4EF308B1" w14:textId="16D32574" w:rsidR="005906C0" w:rsidRPr="00A82237" w:rsidRDefault="005906C0" w:rsidP="00CA2015">
      <w:pPr>
        <w:keepNext/>
        <w:keepLines/>
        <w:jc w:val="center"/>
        <w:rPr>
          <w:rFonts w:eastAsia="Calibri"/>
          <w:b/>
          <w:bCs/>
        </w:rPr>
      </w:pPr>
      <w:r w:rsidRPr="00A82237">
        <w:rPr>
          <w:rFonts w:eastAsia="Calibri"/>
          <w:b/>
          <w:bCs/>
        </w:rPr>
        <w:t>Table 6: Drop in the peak data rate when</w:t>
      </w:r>
      <w:r w:rsidR="00DB6D2B">
        <w:rPr>
          <w:rFonts w:eastAsia="Calibri"/>
          <w:b/>
          <w:bCs/>
        </w:rPr>
        <w:t xml:space="preserve"> an ideal</w:t>
      </w:r>
      <w:r w:rsidRPr="00A82237">
        <w:rPr>
          <w:rFonts w:eastAsia="Calibri"/>
          <w:b/>
          <w:bCs/>
        </w:rPr>
        <w:t xml:space="preserve"> 14 HARQ process</w:t>
      </w:r>
      <w:r w:rsidR="00E27103">
        <w:rPr>
          <w:rFonts w:eastAsia="Calibri"/>
          <w:b/>
          <w:bCs/>
        </w:rPr>
        <w:t>es scheme</w:t>
      </w:r>
      <w:r w:rsidR="00DB6D2B">
        <w:rPr>
          <w:rFonts w:eastAsia="Calibri"/>
          <w:b/>
          <w:bCs/>
        </w:rPr>
        <w:t xml:space="preserve"> </w:t>
      </w:r>
      <w:r w:rsidRPr="00A82237">
        <w:rPr>
          <w:rFonts w:eastAsia="Calibri"/>
          <w:b/>
          <w:bCs/>
        </w:rPr>
        <w:t xml:space="preserve">using HARQ-ACK bundling </w:t>
      </w:r>
      <w:r w:rsidR="00DB6D2B">
        <w:rPr>
          <w:rFonts w:eastAsia="Calibri"/>
          <w:b/>
          <w:bCs/>
        </w:rPr>
        <w:t>is</w:t>
      </w:r>
      <w:r w:rsidRPr="00A82237">
        <w:rPr>
          <w:rFonts w:eastAsia="Calibri"/>
          <w:b/>
          <w:bCs/>
        </w:rPr>
        <w:t xml:space="preserve"> in presence of non-BL/CE DL subframes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2412"/>
        <w:gridCol w:w="1699"/>
        <w:gridCol w:w="2126"/>
      </w:tblGrid>
      <w:tr w:rsidR="00DC410E" w14:paraId="0757A171" w14:textId="3A93F5EE" w:rsidTr="006A34E8">
        <w:tc>
          <w:tcPr>
            <w:tcW w:w="2412" w:type="dxa"/>
            <w:shd w:val="clear" w:color="auto" w:fill="E7E6E6" w:themeFill="background2"/>
          </w:tcPr>
          <w:p w14:paraId="7DB485C7" w14:textId="479962EE" w:rsidR="00DC410E" w:rsidRPr="005906C0" w:rsidRDefault="00DC410E" w:rsidP="00CA2015">
            <w:pPr>
              <w:keepNext/>
              <w:keepLines/>
              <w:jc w:val="center"/>
              <w:rPr>
                <w:b/>
                <w:bCs/>
              </w:rPr>
            </w:pPr>
            <w:r w:rsidRPr="005906C0">
              <w:rPr>
                <w:b/>
                <w:bCs/>
              </w:rPr>
              <w:t>Scenario</w:t>
            </w:r>
          </w:p>
        </w:tc>
        <w:tc>
          <w:tcPr>
            <w:tcW w:w="1699" w:type="dxa"/>
            <w:shd w:val="clear" w:color="auto" w:fill="E7E6E6" w:themeFill="background2"/>
          </w:tcPr>
          <w:p w14:paraId="117D19E8" w14:textId="627526EA" w:rsidR="00DC410E" w:rsidRPr="005906C0" w:rsidRDefault="00DC410E" w:rsidP="00CA2015">
            <w:pPr>
              <w:keepNext/>
              <w:keepLines/>
              <w:jc w:val="center"/>
              <w:rPr>
                <w:b/>
                <w:bCs/>
              </w:rPr>
            </w:pPr>
            <w:r w:rsidRPr="005906C0">
              <w:rPr>
                <w:b/>
                <w:bCs/>
              </w:rPr>
              <w:t>Peak Data Rate</w:t>
            </w:r>
          </w:p>
        </w:tc>
        <w:tc>
          <w:tcPr>
            <w:tcW w:w="2126" w:type="dxa"/>
            <w:shd w:val="clear" w:color="auto" w:fill="E7E6E6" w:themeFill="background2"/>
          </w:tcPr>
          <w:p w14:paraId="594E8539" w14:textId="61285F91" w:rsidR="00DC410E" w:rsidRPr="005906C0" w:rsidRDefault="006A34E8" w:rsidP="00CA201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Percentage of </w:t>
            </w:r>
            <w:r w:rsidR="00DC410E" w:rsidRPr="005906C0">
              <w:rPr>
                <w:b/>
                <w:bCs/>
              </w:rPr>
              <w:t>Peak Data Rate</w:t>
            </w:r>
            <w:r>
              <w:rPr>
                <w:b/>
                <w:bCs/>
              </w:rPr>
              <w:t xml:space="preserve"> Loss</w:t>
            </w:r>
          </w:p>
        </w:tc>
      </w:tr>
      <w:tr w:rsidR="00DC410E" w14:paraId="0B07035B" w14:textId="6404ADE6" w:rsidTr="006A34E8">
        <w:tc>
          <w:tcPr>
            <w:tcW w:w="2412" w:type="dxa"/>
          </w:tcPr>
          <w:p w14:paraId="47D91C74" w14:textId="636BB555" w:rsidR="00DC410E" w:rsidRDefault="00DC410E" w:rsidP="00FD019C">
            <w:pPr>
              <w:keepNext/>
              <w:keepLines/>
            </w:pPr>
            <w:r w:rsidRPr="000829BF">
              <w:t>14 HARQ processes when all subframes are valid</w:t>
            </w:r>
          </w:p>
        </w:tc>
        <w:tc>
          <w:tcPr>
            <w:tcW w:w="1699" w:type="dxa"/>
          </w:tcPr>
          <w:p w14:paraId="3B27A6CA" w14:textId="77777777" w:rsidR="006A34E8" w:rsidRDefault="006A34E8" w:rsidP="00CA2015">
            <w:pPr>
              <w:keepNext/>
              <w:keepLines/>
              <w:jc w:val="center"/>
            </w:pPr>
          </w:p>
          <w:p w14:paraId="6F257504" w14:textId="64CD8301" w:rsidR="00DC410E" w:rsidRDefault="00DC410E" w:rsidP="00CA2015">
            <w:pPr>
              <w:keepNext/>
              <w:keepLines/>
              <w:jc w:val="center"/>
            </w:pPr>
            <w:r w:rsidRPr="000829BF">
              <w:t>706 Kbps</w:t>
            </w:r>
          </w:p>
        </w:tc>
        <w:tc>
          <w:tcPr>
            <w:tcW w:w="2126" w:type="dxa"/>
          </w:tcPr>
          <w:p w14:paraId="0DFDE68C" w14:textId="77777777" w:rsidR="006A34E8" w:rsidRDefault="006A34E8" w:rsidP="00CA2015">
            <w:pPr>
              <w:keepNext/>
              <w:keepLines/>
              <w:jc w:val="center"/>
            </w:pPr>
          </w:p>
          <w:p w14:paraId="22904645" w14:textId="6EC4C672" w:rsidR="00DC410E" w:rsidRPr="000829BF" w:rsidRDefault="006A34E8" w:rsidP="00CA2015">
            <w:pPr>
              <w:keepNext/>
              <w:keepLines/>
              <w:jc w:val="center"/>
            </w:pPr>
            <w:r>
              <w:t>-</w:t>
            </w:r>
          </w:p>
        </w:tc>
      </w:tr>
      <w:tr w:rsidR="00DC410E" w14:paraId="70E691D2" w14:textId="1C408301" w:rsidTr="006A34E8">
        <w:tc>
          <w:tcPr>
            <w:tcW w:w="2412" w:type="dxa"/>
          </w:tcPr>
          <w:p w14:paraId="271878ED" w14:textId="5F7F78CA" w:rsidR="00DC410E" w:rsidRDefault="00DC410E" w:rsidP="00FD019C">
            <w:pPr>
              <w:keepNext/>
              <w:keepLines/>
            </w:pPr>
            <w:r w:rsidRPr="000829BF">
              <w:t>14 HARQ processes in presence of as few as 2 non-BL/CE DL subframes</w:t>
            </w:r>
          </w:p>
        </w:tc>
        <w:tc>
          <w:tcPr>
            <w:tcW w:w="1699" w:type="dxa"/>
          </w:tcPr>
          <w:p w14:paraId="6F8DB1F5" w14:textId="77777777" w:rsidR="006A34E8" w:rsidRDefault="006A34E8" w:rsidP="00CA2015">
            <w:pPr>
              <w:keepNext/>
              <w:keepLines/>
              <w:jc w:val="center"/>
            </w:pPr>
          </w:p>
          <w:p w14:paraId="70E3DEC8" w14:textId="7B365CA9" w:rsidR="00DC410E" w:rsidRDefault="00DC410E" w:rsidP="00CA2015">
            <w:pPr>
              <w:keepNext/>
              <w:keepLines/>
              <w:jc w:val="center"/>
            </w:pPr>
            <w:r w:rsidRPr="000829BF">
              <w:t>571.5 Kbps</w:t>
            </w:r>
          </w:p>
        </w:tc>
        <w:tc>
          <w:tcPr>
            <w:tcW w:w="2126" w:type="dxa"/>
          </w:tcPr>
          <w:p w14:paraId="2AC57734" w14:textId="77777777" w:rsidR="00DC410E" w:rsidRDefault="00DC410E" w:rsidP="00CA2015">
            <w:pPr>
              <w:keepNext/>
              <w:keepLines/>
              <w:jc w:val="center"/>
            </w:pPr>
          </w:p>
          <w:p w14:paraId="71EE836B" w14:textId="7C9673ED" w:rsidR="006A34E8" w:rsidRPr="000829BF" w:rsidRDefault="006A34E8" w:rsidP="00CA2015">
            <w:pPr>
              <w:keepNext/>
              <w:keepLines/>
              <w:jc w:val="center"/>
            </w:pPr>
            <w:r>
              <w:t xml:space="preserve">19.06%  </w:t>
            </w:r>
            <w:r w:rsidRPr="006A34E8">
              <w:rPr>
                <w:color w:val="FF0000"/>
              </w:rPr>
              <w:t>↓</w:t>
            </w:r>
          </w:p>
        </w:tc>
      </w:tr>
      <w:tr w:rsidR="00DC410E" w14:paraId="2688FC61" w14:textId="1F25D9D4" w:rsidTr="006A34E8">
        <w:tc>
          <w:tcPr>
            <w:tcW w:w="2412" w:type="dxa"/>
          </w:tcPr>
          <w:p w14:paraId="5875062C" w14:textId="0156FCBE" w:rsidR="00DC410E" w:rsidRDefault="00DC410E" w:rsidP="00FD019C">
            <w:pPr>
              <w:keepNext/>
              <w:keepLines/>
            </w:pPr>
            <w:r w:rsidRPr="000829BF">
              <w:t>14 HARQ processes in presence of 5 non-BL/CE DL subframes</w:t>
            </w:r>
          </w:p>
        </w:tc>
        <w:tc>
          <w:tcPr>
            <w:tcW w:w="1699" w:type="dxa"/>
          </w:tcPr>
          <w:p w14:paraId="1CAE88DA" w14:textId="77777777" w:rsidR="006A34E8" w:rsidRDefault="006A34E8" w:rsidP="00CA2015">
            <w:pPr>
              <w:keepNext/>
              <w:keepLines/>
              <w:jc w:val="center"/>
            </w:pPr>
          </w:p>
          <w:p w14:paraId="1C7A9A95" w14:textId="29F0F9DE" w:rsidR="00DC410E" w:rsidRDefault="00DC410E" w:rsidP="00CA2015">
            <w:pPr>
              <w:keepNext/>
              <w:keepLines/>
              <w:jc w:val="center"/>
            </w:pPr>
            <w:r w:rsidRPr="000829BF">
              <w:t>375 Kbps</w:t>
            </w:r>
          </w:p>
        </w:tc>
        <w:tc>
          <w:tcPr>
            <w:tcW w:w="2126" w:type="dxa"/>
          </w:tcPr>
          <w:p w14:paraId="011D6C3A" w14:textId="77777777" w:rsidR="00DC410E" w:rsidRDefault="00DC410E" w:rsidP="00CA2015">
            <w:pPr>
              <w:keepNext/>
              <w:keepLines/>
              <w:jc w:val="center"/>
            </w:pPr>
          </w:p>
          <w:p w14:paraId="0A226685" w14:textId="4E24F719" w:rsidR="006A34E8" w:rsidRPr="000829BF" w:rsidRDefault="006A34E8" w:rsidP="00CA2015">
            <w:pPr>
              <w:keepNext/>
              <w:keepLines/>
              <w:jc w:val="center"/>
            </w:pPr>
            <w:r>
              <w:t xml:space="preserve">46.88%  </w:t>
            </w:r>
            <w:r w:rsidRPr="006A34E8">
              <w:rPr>
                <w:color w:val="FF0000"/>
              </w:rPr>
              <w:t>↓</w:t>
            </w:r>
          </w:p>
        </w:tc>
      </w:tr>
    </w:tbl>
    <w:p w14:paraId="72EBA360" w14:textId="604777A9" w:rsidR="005906C0" w:rsidRDefault="005906C0" w:rsidP="00CA2015">
      <w:pPr>
        <w:keepNext/>
        <w:keepLines/>
        <w:jc w:val="both"/>
        <w:rPr>
          <w:rFonts w:eastAsia="Calibri"/>
        </w:rPr>
      </w:pPr>
    </w:p>
    <w:p w14:paraId="48FDDBEC" w14:textId="77777777" w:rsidR="00BA6ABD" w:rsidRDefault="00BA6ABD" w:rsidP="00A12CC8">
      <w:pPr>
        <w:pStyle w:val="Observation"/>
        <w:ind w:left="1701" w:hanging="1701"/>
        <w:rPr>
          <w:rFonts w:eastAsia="Calibri"/>
        </w:rPr>
      </w:pPr>
      <w:bookmarkStart w:id="14" w:name="_Toc54268320"/>
      <w:r w:rsidRPr="00BA6ABD">
        <w:rPr>
          <w:rFonts w:eastAsia="Calibri"/>
        </w:rPr>
        <w:t>The decrease in peak data rate will be even larger if on top of the non-BL/CE DL subframes there were also presence of non-BL/CE UL subframes</w:t>
      </w:r>
      <w:r>
        <w:rPr>
          <w:rFonts w:eastAsia="Calibri"/>
        </w:rPr>
        <w:t>.</w:t>
      </w:r>
      <w:bookmarkEnd w:id="14"/>
    </w:p>
    <w:p w14:paraId="4DEACAB2" w14:textId="77777777" w:rsidR="00A12CC8" w:rsidRDefault="00CC1CF7" w:rsidP="00CC1CF7">
      <w:pPr>
        <w:pStyle w:val="Observation"/>
        <w:ind w:left="1701" w:hanging="1701"/>
        <w:rPr>
          <w:rFonts w:eastAsia="Calibri"/>
        </w:rPr>
      </w:pPr>
      <w:bookmarkStart w:id="15" w:name="_Toc54268321"/>
      <w:r w:rsidRPr="00CC1CF7">
        <w:rPr>
          <w:rFonts w:eastAsia="Calibri"/>
        </w:rPr>
        <w:t>If the 14 HARQ processes feature were not designed to deal with the presence of non-BL/CE subframes, then the larger the presence of non-BL/CE subframes the lower will be the achievable peak data rate</w:t>
      </w:r>
      <w:r>
        <w:rPr>
          <w:rFonts w:eastAsia="Calibri"/>
        </w:rPr>
        <w:t>.</w:t>
      </w:r>
      <w:bookmarkEnd w:id="15"/>
    </w:p>
    <w:p w14:paraId="30C67832" w14:textId="0353D702" w:rsidR="005906C0" w:rsidRDefault="005906C0" w:rsidP="00A12CC8">
      <w:pPr>
        <w:jc w:val="both"/>
        <w:rPr>
          <w:rFonts w:eastAsia="Calibri"/>
        </w:rPr>
      </w:pPr>
      <w:r>
        <w:rPr>
          <w:rFonts w:eastAsia="Calibri"/>
        </w:rPr>
        <w:t xml:space="preserve">Moreover, </w:t>
      </w:r>
      <w:r w:rsidRPr="00071077">
        <w:rPr>
          <w:rFonts w:eastAsia="Calibri"/>
        </w:rPr>
        <w:t xml:space="preserve">the relevance </w:t>
      </w:r>
      <w:r>
        <w:rPr>
          <w:rFonts w:eastAsia="Calibri"/>
        </w:rPr>
        <w:t xml:space="preserve">of the </w:t>
      </w:r>
      <w:r w:rsidRPr="00071077">
        <w:rPr>
          <w:rFonts w:eastAsia="Calibri"/>
        </w:rPr>
        <w:t>non-BL/CE subframes</w:t>
      </w:r>
      <w:r>
        <w:rPr>
          <w:rFonts w:eastAsia="Calibri"/>
        </w:rPr>
        <w:t xml:space="preserve"> has</w:t>
      </w:r>
      <w:r w:rsidRPr="00071077">
        <w:rPr>
          <w:rFonts w:eastAsia="Calibri"/>
        </w:rPr>
        <w:t xml:space="preserve"> become even more important now that they are used for NR coexistence (in the form of Rel-13 invalid subframes or Rel-16 reserved subframes)</w:t>
      </w:r>
      <w:r>
        <w:rPr>
          <w:rFonts w:eastAsia="Calibri"/>
        </w:rPr>
        <w:t>.</w:t>
      </w:r>
    </w:p>
    <w:p w14:paraId="3A4CD1BC" w14:textId="637A0400" w:rsidR="00071077" w:rsidRDefault="00071077" w:rsidP="00CC1CF7">
      <w:pPr>
        <w:pStyle w:val="Observation"/>
        <w:ind w:left="1701" w:hanging="1701"/>
        <w:rPr>
          <w:rFonts w:eastAsia="Calibri"/>
        </w:rPr>
      </w:pPr>
      <w:bookmarkStart w:id="16" w:name="_Toc54268322"/>
      <w:r>
        <w:rPr>
          <w:rFonts w:eastAsia="Calibri"/>
        </w:rPr>
        <w:t>T</w:t>
      </w:r>
      <w:r w:rsidRPr="00071077">
        <w:rPr>
          <w:rFonts w:eastAsia="Calibri"/>
        </w:rPr>
        <w:t xml:space="preserve">he relevance </w:t>
      </w:r>
      <w:r w:rsidR="00A16B7C">
        <w:rPr>
          <w:rFonts w:eastAsia="Calibri"/>
        </w:rPr>
        <w:t xml:space="preserve">of </w:t>
      </w:r>
      <w:r w:rsidRPr="00071077">
        <w:rPr>
          <w:rFonts w:eastAsia="Calibri"/>
        </w:rPr>
        <w:t>non-BL/CE subframes has become even more important now that they are used for NR coexistence</w:t>
      </w:r>
      <w:r>
        <w:rPr>
          <w:rFonts w:eastAsia="Calibri"/>
        </w:rPr>
        <w:t>.</w:t>
      </w:r>
      <w:bookmarkEnd w:id="16"/>
    </w:p>
    <w:p w14:paraId="5AF856C1" w14:textId="7E46FFB4" w:rsidR="00571BC0" w:rsidRDefault="00571BC0" w:rsidP="00DC410E">
      <w:pPr>
        <w:pStyle w:val="Proposal"/>
        <w:numPr>
          <w:ilvl w:val="0"/>
          <w:numId w:val="0"/>
        </w:numPr>
        <w:ind w:left="1701"/>
      </w:pPr>
    </w:p>
    <w:p w14:paraId="0AEAEE0A" w14:textId="350F6127" w:rsidR="00C94BEB" w:rsidRDefault="00C94BEB" w:rsidP="00C94BEB">
      <w:pPr>
        <w:pStyle w:val="Proposal"/>
        <w:rPr>
          <w:rFonts w:eastAsia="Calibri"/>
        </w:rPr>
      </w:pPr>
      <w:bookmarkStart w:id="17" w:name="_Toc51843184"/>
      <w:bookmarkStart w:id="18" w:name="_Toc54016080"/>
      <w:r>
        <w:rPr>
          <w:rFonts w:eastAsia="Calibri"/>
        </w:rPr>
        <w:t xml:space="preserve">The 14 HARQ processes </w:t>
      </w:r>
      <w:r w:rsidR="00C20395">
        <w:rPr>
          <w:rFonts w:eastAsia="Calibri"/>
        </w:rPr>
        <w:t xml:space="preserve">feature </w:t>
      </w:r>
      <w:r>
        <w:rPr>
          <w:rFonts w:eastAsia="Calibri"/>
        </w:rPr>
        <w:t>support</w:t>
      </w:r>
      <w:r w:rsidR="00C20395">
        <w:rPr>
          <w:rFonts w:eastAsia="Calibri"/>
        </w:rPr>
        <w:t>s</w:t>
      </w:r>
      <w:r>
        <w:rPr>
          <w:rFonts w:eastAsia="Calibri"/>
        </w:rPr>
        <w:t xml:space="preserve"> the case when there is </w:t>
      </w:r>
      <w:r w:rsidRPr="00C94BEB">
        <w:rPr>
          <w:rFonts w:eastAsia="Calibri"/>
        </w:rPr>
        <w:t>presence of non-BL/CE subframes</w:t>
      </w:r>
      <w:r w:rsidR="00427E0C">
        <w:rPr>
          <w:rFonts w:eastAsia="Calibri"/>
        </w:rPr>
        <w:t xml:space="preserve"> </w:t>
      </w:r>
      <w:r w:rsidR="00427E0C" w:rsidRPr="00427E0C">
        <w:rPr>
          <w:rFonts w:eastAsia="Calibri"/>
        </w:rPr>
        <w:t>at least in the PUCCH non-repetition case</w:t>
      </w:r>
      <w:r w:rsidR="00427E0C">
        <w:rPr>
          <w:rFonts w:eastAsia="Calibri"/>
        </w:rPr>
        <w:t>.</w:t>
      </w:r>
      <w:bookmarkEnd w:id="17"/>
      <w:bookmarkEnd w:id="18"/>
    </w:p>
    <w:p w14:paraId="6314DC8E" w14:textId="4986FEB5" w:rsidR="00C94BEB" w:rsidRDefault="00C94BEB" w:rsidP="00C94BEB">
      <w:pPr>
        <w:pStyle w:val="Proposal"/>
        <w:numPr>
          <w:ilvl w:val="2"/>
          <w:numId w:val="37"/>
        </w:numPr>
        <w:rPr>
          <w:rFonts w:eastAsia="Calibri"/>
        </w:rPr>
      </w:pPr>
      <w:bookmarkStart w:id="19" w:name="_Toc51843185"/>
      <w:bookmarkStart w:id="20" w:name="_Toc54016081"/>
      <w:r>
        <w:rPr>
          <w:rFonts w:eastAsia="Calibri"/>
        </w:rPr>
        <w:t>FFS: Details of signalling</w:t>
      </w:r>
      <w:bookmarkEnd w:id="19"/>
      <w:bookmarkEnd w:id="20"/>
      <w:r>
        <w:rPr>
          <w:rFonts w:eastAsia="Calibri"/>
        </w:rPr>
        <w:t xml:space="preserve"> </w:t>
      </w:r>
    </w:p>
    <w:p w14:paraId="70CFF0D6" w14:textId="3B46DFA9" w:rsidR="00C94BEB" w:rsidRDefault="00C94BEB" w:rsidP="00C94BEB">
      <w:pPr>
        <w:pStyle w:val="Proposal"/>
        <w:numPr>
          <w:ilvl w:val="2"/>
          <w:numId w:val="37"/>
        </w:numPr>
        <w:rPr>
          <w:rFonts w:eastAsia="Calibri"/>
        </w:rPr>
      </w:pPr>
      <w:bookmarkStart w:id="21" w:name="_Toc51843186"/>
      <w:bookmarkStart w:id="22" w:name="_Toc54016082"/>
      <w:r>
        <w:rPr>
          <w:rFonts w:eastAsia="Calibri"/>
        </w:rPr>
        <w:t>FFS: PDSCH scheduling delays</w:t>
      </w:r>
      <w:bookmarkEnd w:id="21"/>
      <w:bookmarkEnd w:id="22"/>
    </w:p>
    <w:p w14:paraId="6542060B" w14:textId="28C463CA" w:rsidR="00C94BEB" w:rsidRDefault="00C94BEB" w:rsidP="00C94BEB">
      <w:pPr>
        <w:pStyle w:val="Proposal"/>
        <w:numPr>
          <w:ilvl w:val="2"/>
          <w:numId w:val="37"/>
        </w:numPr>
        <w:rPr>
          <w:rFonts w:eastAsia="Calibri"/>
        </w:rPr>
      </w:pPr>
      <w:bookmarkStart w:id="23" w:name="_Toc51843187"/>
      <w:bookmarkStart w:id="24" w:name="_Toc54016083"/>
      <w:r>
        <w:rPr>
          <w:rFonts w:eastAsia="Calibri"/>
        </w:rPr>
        <w:t>FFS: HARQ-ACK delays</w:t>
      </w:r>
      <w:bookmarkEnd w:id="23"/>
      <w:bookmarkEnd w:id="24"/>
    </w:p>
    <w:p w14:paraId="7CE82A89" w14:textId="30E0DA58" w:rsidR="00890FB2" w:rsidRDefault="00890FB2" w:rsidP="00890FB2">
      <w:pPr>
        <w:pStyle w:val="Heading3"/>
        <w:rPr>
          <w:lang w:val="en-US" w:eastAsia="en-GB"/>
        </w:rPr>
      </w:pPr>
      <w:r>
        <w:rPr>
          <w:lang w:val="en-US" w:eastAsia="en-GB"/>
        </w:rPr>
        <w:t>2.2.2</w:t>
      </w:r>
      <w:r>
        <w:rPr>
          <w:lang w:val="en-US" w:eastAsia="en-GB"/>
        </w:rPr>
        <w:tab/>
        <w:t xml:space="preserve">Presence of </w:t>
      </w:r>
      <w:r w:rsidR="00427E0C">
        <w:rPr>
          <w:lang w:val="en-US" w:eastAsia="en-GB"/>
        </w:rPr>
        <w:t>PUCCH repetitions</w:t>
      </w:r>
    </w:p>
    <w:p w14:paraId="6BF52A98" w14:textId="218E87B9" w:rsidR="005B3D01" w:rsidRDefault="008A4F7B" w:rsidP="00093432">
      <w:pPr>
        <w:jc w:val="both"/>
        <w:rPr>
          <w:lang w:val="en-US" w:eastAsia="en-GB"/>
        </w:rPr>
      </w:pPr>
      <w:r>
        <w:rPr>
          <w:lang w:val="en-US" w:eastAsia="en-GB"/>
        </w:rPr>
        <w:t>For</w:t>
      </w:r>
      <w:r w:rsidR="00DE0439" w:rsidRPr="00DE0439">
        <w:rPr>
          <w:lang w:val="en-US" w:eastAsia="en-GB"/>
        </w:rPr>
        <w:t xml:space="preserve"> </w:t>
      </w:r>
      <w:r w:rsidRPr="008A4F7B">
        <w:rPr>
          <w:lang w:val="en-US" w:eastAsia="en-GB"/>
        </w:rPr>
        <w:t>HD-FDD Cat</w:t>
      </w:r>
      <w:r w:rsidR="007C6279">
        <w:rPr>
          <w:lang w:val="en-US" w:eastAsia="en-GB"/>
        </w:rPr>
        <w:t>-</w:t>
      </w:r>
      <w:r w:rsidRPr="008A4F7B">
        <w:rPr>
          <w:lang w:val="en-US" w:eastAsia="en-GB"/>
        </w:rPr>
        <w:t>M1 UEs,</w:t>
      </w:r>
      <w:r>
        <w:rPr>
          <w:lang w:val="en-US" w:eastAsia="en-GB"/>
        </w:rPr>
        <w:t xml:space="preserve"> the</w:t>
      </w:r>
      <w:r w:rsidRPr="008A4F7B">
        <w:rPr>
          <w:lang w:val="en-US" w:eastAsia="en-GB"/>
        </w:rPr>
        <w:t xml:space="preserve"> peak data rate can be achieved through the combined usage of 10 HARQ processes </w:t>
      </w:r>
      <w:r w:rsidR="005B3D01">
        <w:rPr>
          <w:lang w:val="en-US" w:eastAsia="en-GB"/>
        </w:rPr>
        <w:t xml:space="preserve">and the </w:t>
      </w:r>
      <w:r w:rsidRPr="008A4F7B">
        <w:rPr>
          <w:lang w:val="en-US" w:eastAsia="en-GB"/>
        </w:rPr>
        <w:t>HARQ-ACK bundling</w:t>
      </w:r>
      <w:r w:rsidR="005B3D01">
        <w:rPr>
          <w:lang w:val="en-US" w:eastAsia="en-GB"/>
        </w:rPr>
        <w:t>. T</w:t>
      </w:r>
      <w:r>
        <w:rPr>
          <w:lang w:val="en-US" w:eastAsia="en-GB"/>
        </w:rPr>
        <w:t xml:space="preserve">he support of 14 HARQ processes </w:t>
      </w:r>
      <w:r w:rsidR="005B3D01">
        <w:rPr>
          <w:lang w:val="en-US" w:eastAsia="en-GB"/>
        </w:rPr>
        <w:t>will rely</w:t>
      </w:r>
      <w:r>
        <w:rPr>
          <w:lang w:val="en-US" w:eastAsia="en-GB"/>
        </w:rPr>
        <w:t xml:space="preserve"> on the same framework</w:t>
      </w:r>
      <w:r w:rsidR="005B3D01">
        <w:rPr>
          <w:lang w:val="en-US" w:eastAsia="en-GB"/>
        </w:rPr>
        <w:t>.</w:t>
      </w:r>
    </w:p>
    <w:p w14:paraId="071AE1B8" w14:textId="192A1A49" w:rsidR="005B3D01" w:rsidRDefault="005B3D01" w:rsidP="00093432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HARQ-ACK bundling supports the PUCCH repetition case, and it needs to be decided whether the </w:t>
      </w:r>
      <w:r w:rsidRPr="005B3D01">
        <w:rPr>
          <w:lang w:val="en-US" w:eastAsia="en-GB"/>
        </w:rPr>
        <w:t>combined usage of 1</w:t>
      </w:r>
      <w:r>
        <w:rPr>
          <w:lang w:val="en-US" w:eastAsia="en-GB"/>
        </w:rPr>
        <w:t>4</w:t>
      </w:r>
      <w:r w:rsidRPr="005B3D01">
        <w:rPr>
          <w:lang w:val="en-US" w:eastAsia="en-GB"/>
        </w:rPr>
        <w:t xml:space="preserve"> HARQ processes and </w:t>
      </w:r>
      <w:r>
        <w:rPr>
          <w:lang w:val="en-US" w:eastAsia="en-GB"/>
        </w:rPr>
        <w:t xml:space="preserve">the </w:t>
      </w:r>
      <w:r w:rsidRPr="005B3D01">
        <w:rPr>
          <w:lang w:val="en-US" w:eastAsia="en-GB"/>
        </w:rPr>
        <w:t>HARQ-ACK bundling</w:t>
      </w:r>
      <w:r>
        <w:rPr>
          <w:lang w:val="en-US" w:eastAsia="en-GB"/>
        </w:rPr>
        <w:t xml:space="preserve"> will add support for the PUCCH repetition case or not. When this topic was brough up in RAN1 #102e, it was mentioned that </w:t>
      </w:r>
      <w:r w:rsidR="00967C21">
        <w:rPr>
          <w:lang w:val="en-US" w:eastAsia="en-GB"/>
        </w:rPr>
        <w:t xml:space="preserve">the 14 HARQ processes feature is expected to be used in </w:t>
      </w:r>
      <w:r w:rsidR="00967C21">
        <w:rPr>
          <w:lang w:val="en-US" w:eastAsia="en-GB"/>
        </w:rPr>
        <w:lastRenderedPageBreak/>
        <w:t>good radio conditions, but even if that were the case</w:t>
      </w:r>
      <w:r w:rsidR="00654F20">
        <w:rPr>
          <w:lang w:val="en-US" w:eastAsia="en-GB"/>
        </w:rPr>
        <w:t xml:space="preserve">, </w:t>
      </w:r>
      <w:r w:rsidR="00967C21">
        <w:rPr>
          <w:lang w:val="en-US" w:eastAsia="en-GB"/>
        </w:rPr>
        <w:t>in certain scenarios (e.g., a temporary shadowing condition) having the possibility of</w:t>
      </w:r>
      <w:r w:rsidR="00C20395">
        <w:rPr>
          <w:lang w:val="en-US" w:eastAsia="en-GB"/>
        </w:rPr>
        <w:t xml:space="preserve"> using repetition would be beneficial for the feature.</w:t>
      </w:r>
    </w:p>
    <w:p w14:paraId="4E587AB1" w14:textId="35B3E159" w:rsidR="00C20395" w:rsidRDefault="00C20395" w:rsidP="00093432">
      <w:pPr>
        <w:jc w:val="both"/>
        <w:rPr>
          <w:lang w:val="en-US" w:eastAsia="en-GB"/>
        </w:rPr>
      </w:pPr>
      <w:r>
        <w:rPr>
          <w:lang w:val="en-US" w:eastAsia="en-GB"/>
        </w:rPr>
        <w:t xml:space="preserve">As in the case of </w:t>
      </w:r>
      <w:r w:rsidR="00AE73C8">
        <w:rPr>
          <w:lang w:val="en-US" w:eastAsia="en-GB"/>
        </w:rPr>
        <w:t>the</w:t>
      </w:r>
      <w:r>
        <w:rPr>
          <w:lang w:val="en-US" w:eastAsia="en-GB"/>
        </w:rPr>
        <w:t xml:space="preserve"> non-BL/CE subframes, the presence of PUCCH repetitions will also cause addition delays, therefore </w:t>
      </w:r>
      <w:r w:rsidR="00AE73C8">
        <w:rPr>
          <w:lang w:val="en-US" w:eastAsia="en-GB"/>
        </w:rPr>
        <w:t>what is needed to support this case can be design</w:t>
      </w:r>
      <w:r w:rsidR="00654F20">
        <w:rPr>
          <w:lang w:val="en-US" w:eastAsia="en-GB"/>
        </w:rPr>
        <w:t>ed</w:t>
      </w:r>
      <w:r w:rsidR="00AE73C8">
        <w:rPr>
          <w:lang w:val="en-US" w:eastAsia="en-GB"/>
        </w:rPr>
        <w:t xml:space="preserve"> together with the support of the presence of non-BL/CE subframes.</w:t>
      </w:r>
    </w:p>
    <w:p w14:paraId="3DDA9806" w14:textId="67A540F4" w:rsidR="005B3D01" w:rsidRDefault="00C675F9" w:rsidP="00C675F9">
      <w:pPr>
        <w:pStyle w:val="Observation"/>
        <w:ind w:left="1701" w:hanging="1701"/>
        <w:rPr>
          <w:lang w:val="en-US" w:eastAsia="en-GB"/>
        </w:rPr>
      </w:pPr>
      <w:bookmarkStart w:id="25" w:name="_Toc54268323"/>
      <w:r>
        <w:rPr>
          <w:lang w:val="en-US" w:eastAsia="en-GB"/>
        </w:rPr>
        <w:t xml:space="preserve">Even if the </w:t>
      </w:r>
      <w:r w:rsidRPr="00C675F9">
        <w:rPr>
          <w:lang w:val="en-US" w:eastAsia="en-GB"/>
        </w:rPr>
        <w:t xml:space="preserve">14 HARQ processes feature </w:t>
      </w:r>
      <w:r>
        <w:rPr>
          <w:lang w:val="en-US" w:eastAsia="en-GB"/>
        </w:rPr>
        <w:t>were to be</w:t>
      </w:r>
      <w:r w:rsidRPr="00C675F9">
        <w:rPr>
          <w:lang w:val="en-US" w:eastAsia="en-GB"/>
        </w:rPr>
        <w:t xml:space="preserve"> used </w:t>
      </w:r>
      <w:r>
        <w:rPr>
          <w:lang w:val="en-US" w:eastAsia="en-GB"/>
        </w:rPr>
        <w:t xml:space="preserve">only </w:t>
      </w:r>
      <w:r w:rsidRPr="00C675F9">
        <w:rPr>
          <w:lang w:val="en-US" w:eastAsia="en-GB"/>
        </w:rPr>
        <w:t>in good radio conditions, in certain scenarios (e.g., a temporary shadowing condition) having the possibility of using repetition</w:t>
      </w:r>
      <w:r w:rsidR="00112AF6">
        <w:rPr>
          <w:lang w:val="en-US" w:eastAsia="en-GB"/>
        </w:rPr>
        <w:t>s</w:t>
      </w:r>
      <w:r w:rsidRPr="00C675F9">
        <w:rPr>
          <w:lang w:val="en-US" w:eastAsia="en-GB"/>
        </w:rPr>
        <w:t xml:space="preserve"> would be beneficial for the feature</w:t>
      </w:r>
      <w:r>
        <w:rPr>
          <w:lang w:val="en-US" w:eastAsia="en-GB"/>
        </w:rPr>
        <w:t>.</w:t>
      </w:r>
      <w:bookmarkEnd w:id="25"/>
    </w:p>
    <w:p w14:paraId="762E4961" w14:textId="0450544F" w:rsidR="00DE0B33" w:rsidRPr="00AE73C8" w:rsidRDefault="00EB5DC6" w:rsidP="00093432">
      <w:pPr>
        <w:pStyle w:val="Proposal"/>
        <w:rPr>
          <w:lang w:val="en-US"/>
        </w:rPr>
      </w:pPr>
      <w:bookmarkStart w:id="26" w:name="_Toc51843188"/>
      <w:bookmarkStart w:id="27" w:name="_Toc54016084"/>
      <w:r>
        <w:rPr>
          <w:lang w:val="en-US"/>
        </w:rPr>
        <w:t>If t</w:t>
      </w:r>
      <w:r w:rsidRPr="00AE73C8">
        <w:rPr>
          <w:lang w:val="en-US"/>
        </w:rPr>
        <w:t>he</w:t>
      </w:r>
      <w:r w:rsidR="00AE73C8" w:rsidRPr="00AE73C8">
        <w:rPr>
          <w:lang w:val="en-US"/>
        </w:rPr>
        <w:t xml:space="preserve"> 14 HARQ processes feature supports the PUCCH repetition case</w:t>
      </w:r>
      <w:r w:rsidR="00AE73C8">
        <w:rPr>
          <w:lang w:val="en-US"/>
        </w:rPr>
        <w:t xml:space="preserve">, the </w:t>
      </w:r>
      <w:r>
        <w:rPr>
          <w:lang w:val="en-US"/>
        </w:rPr>
        <w:t xml:space="preserve">same </w:t>
      </w:r>
      <w:r w:rsidR="00AE73C8">
        <w:rPr>
          <w:lang w:val="en-US"/>
        </w:rPr>
        <w:t>framework</w:t>
      </w:r>
      <w:r w:rsidR="00C675F9">
        <w:rPr>
          <w:lang w:val="en-US"/>
        </w:rPr>
        <w:t xml:space="preserve"> that supports the </w:t>
      </w:r>
      <w:r w:rsidR="00C675F9" w:rsidRPr="00C675F9">
        <w:rPr>
          <w:lang w:val="en-US"/>
        </w:rPr>
        <w:t>presence of non-BL/CE subframes</w:t>
      </w:r>
      <w:r>
        <w:rPr>
          <w:lang w:val="en-US"/>
        </w:rPr>
        <w:t xml:space="preserve"> should be used</w:t>
      </w:r>
      <w:r w:rsidR="00C675F9">
        <w:rPr>
          <w:lang w:val="en-US"/>
        </w:rPr>
        <w:t>.</w:t>
      </w:r>
      <w:bookmarkEnd w:id="26"/>
      <w:bookmarkEnd w:id="27"/>
    </w:p>
    <w:p w14:paraId="7DF38ED9" w14:textId="549E2E3A" w:rsidR="00890FB2" w:rsidRDefault="00890FB2" w:rsidP="00890FB2">
      <w:pPr>
        <w:pStyle w:val="Heading3"/>
        <w:rPr>
          <w:lang w:val="en-US" w:eastAsia="en-GB"/>
        </w:rPr>
      </w:pPr>
      <w:r>
        <w:rPr>
          <w:lang w:val="en-US" w:eastAsia="en-GB"/>
        </w:rPr>
        <w:t>2.2.3</w:t>
      </w:r>
      <w:r>
        <w:rPr>
          <w:lang w:val="en-US" w:eastAsia="en-GB"/>
        </w:rPr>
        <w:tab/>
      </w:r>
      <w:r w:rsidR="00427E0C">
        <w:rPr>
          <w:lang w:val="en-US" w:eastAsia="en-GB"/>
        </w:rPr>
        <w:t>Other topics</w:t>
      </w:r>
    </w:p>
    <w:p w14:paraId="0B583B2B" w14:textId="2832E144" w:rsidR="00720DA0" w:rsidRDefault="00720DA0" w:rsidP="00720DA0">
      <w:pPr>
        <w:pStyle w:val="Heading4"/>
      </w:pPr>
      <w:r>
        <w:t>2.2.3.1 Presence of Measurement gaps</w:t>
      </w:r>
    </w:p>
    <w:p w14:paraId="1FFB5426" w14:textId="59D590BA" w:rsidR="002A1CB3" w:rsidRDefault="002A1CB3" w:rsidP="002A1CB3">
      <w:pPr>
        <w:jc w:val="both"/>
      </w:pPr>
      <w:r>
        <w:t xml:space="preserve">When </w:t>
      </w:r>
      <w:r w:rsidR="00720DA0">
        <w:t>a measurement gap (</w:t>
      </w:r>
      <w:r>
        <w:t>MG</w:t>
      </w:r>
      <w:r w:rsidR="00720DA0">
        <w:t>)</w:t>
      </w:r>
      <w:r>
        <w:t xml:space="preserve"> fully or partially overlaps BL/CE </w:t>
      </w:r>
      <w:r w:rsidR="007C1839">
        <w:t>D</w:t>
      </w:r>
      <w:r>
        <w:t xml:space="preserve">L subframes or BL/CE </w:t>
      </w:r>
      <w:r w:rsidR="007C1839">
        <w:t>U</w:t>
      </w:r>
      <w:r>
        <w:t>L subframes</w:t>
      </w:r>
      <w:r w:rsidR="007C1839">
        <w:t>,</w:t>
      </w:r>
      <w:r>
        <w:t xml:space="preserve"> there won’t be DL transmissions on the subframes encompassing the </w:t>
      </w:r>
      <w:r w:rsidR="00550D19">
        <w:t>measurement gap length (</w:t>
      </w:r>
      <w:r>
        <w:t>MGL</w:t>
      </w:r>
      <w:r w:rsidR="00550D19">
        <w:t>)</w:t>
      </w:r>
      <w:r>
        <w:t xml:space="preserve"> nor UL transmissions on the same MGL + 1 subframe either. The +1 subframe is because it is assumed that Cat-M1 UEs cannot transmit anything in UL in the subframe after the measurement gap.</w:t>
      </w:r>
      <w:r w:rsidR="00720DA0">
        <w:t xml:space="preserve"> The impact of measurement gaps on the 14 HARQ processes feature needs to be studied</w:t>
      </w:r>
      <w:r w:rsidR="00550D19">
        <w:t>.</w:t>
      </w:r>
    </w:p>
    <w:p w14:paraId="711E26DA" w14:textId="7D9E9928" w:rsidR="00071077" w:rsidRDefault="006B4055" w:rsidP="00071077">
      <w:pPr>
        <w:pStyle w:val="Proposal"/>
      </w:pPr>
      <w:bookmarkStart w:id="28" w:name="_Toc51843189"/>
      <w:bookmarkStart w:id="29" w:name="_Toc54016085"/>
      <w:r>
        <w:t>FFS: I</w:t>
      </w:r>
      <w:r w:rsidRPr="006B4055">
        <w:t>mpact of measurement gaps on the 14 HARQ processes feature</w:t>
      </w:r>
      <w:r>
        <w:t>.</w:t>
      </w:r>
      <w:bookmarkEnd w:id="28"/>
      <w:bookmarkEnd w:id="29"/>
    </w:p>
    <w:p w14:paraId="769B5CBB" w14:textId="260D1722" w:rsidR="00720DA0" w:rsidRDefault="00720DA0" w:rsidP="00720DA0">
      <w:pPr>
        <w:pStyle w:val="Heading4"/>
      </w:pPr>
      <w:r>
        <w:t xml:space="preserve">2.2.3.1 Support of the Multi-TB </w:t>
      </w:r>
      <w:r w:rsidR="00550D19">
        <w:t>grant</w:t>
      </w:r>
    </w:p>
    <w:p w14:paraId="56329E35" w14:textId="408C90A6" w:rsidR="007D7BCD" w:rsidRDefault="00720DA0" w:rsidP="00720DA0">
      <w:pPr>
        <w:jc w:val="both"/>
        <w:rPr>
          <w:iCs/>
        </w:rPr>
      </w:pPr>
      <w:r>
        <w:rPr>
          <w:iCs/>
        </w:rPr>
        <w:t>In</w:t>
      </w:r>
      <w:r w:rsidRPr="00411199">
        <w:rPr>
          <w:iCs/>
        </w:rPr>
        <w:t xml:space="preserve"> </w:t>
      </w:r>
      <w:r w:rsidR="00550D19">
        <w:rPr>
          <w:iCs/>
        </w:rPr>
        <w:t>[</w:t>
      </w:r>
      <w:r w:rsidR="00DA1705">
        <w:rPr>
          <w:iCs/>
        </w:rPr>
        <w:t>4</w:t>
      </w:r>
      <w:r w:rsidR="00550D19">
        <w:rPr>
          <w:iCs/>
        </w:rPr>
        <w:t>], it was mentioned “</w:t>
      </w:r>
      <w:r w:rsidR="00550D19" w:rsidRPr="00550D19">
        <w:rPr>
          <w:i/>
        </w:rPr>
        <w:t xml:space="preserve">The DL speed of </w:t>
      </w:r>
      <w:proofErr w:type="spellStart"/>
      <w:r w:rsidR="00550D19" w:rsidRPr="00550D19">
        <w:rPr>
          <w:i/>
        </w:rPr>
        <w:t>Rel</w:t>
      </w:r>
      <w:proofErr w:type="spellEnd"/>
      <w:r w:rsidR="00550D19" w:rsidRPr="00550D19">
        <w:rPr>
          <w:i/>
        </w:rPr>
        <w:t xml:space="preserve"> 16 Multi-TB grant case is only 470kbps where </w:t>
      </w:r>
      <w:proofErr w:type="spellStart"/>
      <w:r w:rsidR="00550D19" w:rsidRPr="00550D19">
        <w:rPr>
          <w:i/>
        </w:rPr>
        <w:t>Rel</w:t>
      </w:r>
      <w:proofErr w:type="spellEnd"/>
      <w:r w:rsidR="00550D19" w:rsidRPr="00550D19">
        <w:rPr>
          <w:i/>
        </w:rPr>
        <w:t xml:space="preserve"> 17 single TB grant case with 14 HARQ feature is 705kbps</w:t>
      </w:r>
      <w:r w:rsidR="00550D19">
        <w:rPr>
          <w:iCs/>
        </w:rPr>
        <w:t>”, “</w:t>
      </w:r>
      <w:r w:rsidR="00550D19" w:rsidRPr="00550D19">
        <w:rPr>
          <w:i/>
        </w:rPr>
        <w:t>the Multi-TB grant case can also support the 14 HARQ feature and provide the same speed as the single-TB grant case of 705kbps</w:t>
      </w:r>
      <w:r w:rsidR="00550D19">
        <w:rPr>
          <w:iCs/>
        </w:rPr>
        <w:t>” The motivation in [</w:t>
      </w:r>
      <w:r w:rsidR="00DA1705">
        <w:rPr>
          <w:iCs/>
        </w:rPr>
        <w:t>4</w:t>
      </w:r>
      <w:r w:rsidR="00550D19">
        <w:rPr>
          <w:iCs/>
        </w:rPr>
        <w:t xml:space="preserve">] seems to </w:t>
      </w:r>
      <w:r w:rsidR="00071077">
        <w:rPr>
          <w:iCs/>
        </w:rPr>
        <w:t xml:space="preserve">pursue an improvement on the Multi-TB grant, but it also needs to be studied </w:t>
      </w:r>
      <w:r w:rsidR="00071077" w:rsidRPr="00071077">
        <w:rPr>
          <w:iCs/>
        </w:rPr>
        <w:t xml:space="preserve">the potential benefits </w:t>
      </w:r>
      <w:r w:rsidR="00071077">
        <w:rPr>
          <w:iCs/>
        </w:rPr>
        <w:t xml:space="preserve">for the 14 HARQ processes feature </w:t>
      </w:r>
      <w:r w:rsidR="00071077" w:rsidRPr="00071077">
        <w:rPr>
          <w:iCs/>
        </w:rPr>
        <w:t>versus the added complexity</w:t>
      </w:r>
      <w:r w:rsidR="00071077">
        <w:rPr>
          <w:iCs/>
        </w:rPr>
        <w:t>.</w:t>
      </w:r>
    </w:p>
    <w:p w14:paraId="7D99DE5A" w14:textId="0A3833E7" w:rsidR="00071077" w:rsidRDefault="006B4055" w:rsidP="00071077">
      <w:pPr>
        <w:pStyle w:val="Proposal"/>
      </w:pPr>
      <w:bookmarkStart w:id="30" w:name="_Toc51843190"/>
      <w:bookmarkStart w:id="31" w:name="_Toc54016086"/>
      <w:r>
        <w:t>FFS: Impact and potential benefits of supporting Multi-TB grant for the 14 processes feature.</w:t>
      </w:r>
      <w:bookmarkEnd w:id="30"/>
      <w:bookmarkEnd w:id="31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58D5E936" w14:textId="19CDF996" w:rsidR="00921721" w:rsidRPr="007D7BCD" w:rsidRDefault="008E065E" w:rsidP="008E065E">
      <w:pPr>
        <w:pStyle w:val="BodyText"/>
        <w:rPr>
          <w:rFonts w:ascii="Times New Roman" w:hAnsi="Times New Roman"/>
        </w:rPr>
      </w:pPr>
      <w:r w:rsidRPr="007D7BCD">
        <w:rPr>
          <w:rFonts w:ascii="Times New Roman" w:hAnsi="Times New Roman"/>
        </w:rPr>
        <w:t xml:space="preserve">In </w:t>
      </w:r>
      <w:r w:rsidR="007729A2" w:rsidRPr="007D7BCD">
        <w:rPr>
          <w:rFonts w:ascii="Times New Roman" w:hAnsi="Times New Roman"/>
        </w:rPr>
        <w:t xml:space="preserve">the previous </w:t>
      </w:r>
      <w:r w:rsidRPr="007D7BCD">
        <w:rPr>
          <w:rFonts w:ascii="Times New Roman" w:hAnsi="Times New Roman"/>
        </w:rPr>
        <w:t>section</w:t>
      </w:r>
      <w:r w:rsidR="007729A2" w:rsidRPr="007D7BCD">
        <w:rPr>
          <w:rFonts w:ascii="Times New Roman" w:hAnsi="Times New Roman"/>
        </w:rPr>
        <w:t>s</w:t>
      </w:r>
      <w:r w:rsidRPr="007D7BCD">
        <w:rPr>
          <w:rFonts w:ascii="Times New Roman" w:hAnsi="Times New Roman"/>
        </w:rPr>
        <w:t xml:space="preserve"> we made the following observations</w:t>
      </w:r>
      <w:r w:rsidR="00DA55F5" w:rsidRPr="007D7BCD">
        <w:rPr>
          <w:rFonts w:ascii="Times New Roman" w:hAnsi="Times New Roman"/>
        </w:rPr>
        <w:t xml:space="preserve"> </w:t>
      </w:r>
      <w:r w:rsidR="007D7BCD" w:rsidRPr="007D7BCD">
        <w:rPr>
          <w:rFonts w:ascii="Times New Roman" w:hAnsi="Times New Roman"/>
        </w:rPr>
        <w:t>towards the</w:t>
      </w:r>
      <w:r w:rsidR="00DA55F5" w:rsidRPr="007D7BCD">
        <w:rPr>
          <w:rFonts w:ascii="Times New Roman" w:hAnsi="Times New Roman"/>
        </w:rPr>
        <w:t xml:space="preserve"> </w:t>
      </w:r>
      <w:r w:rsidR="0054416F" w:rsidRPr="007D7BCD">
        <w:rPr>
          <w:rFonts w:ascii="Times New Roman" w:hAnsi="Times New Roman"/>
        </w:rPr>
        <w:t>“</w:t>
      </w:r>
      <w:r w:rsidR="0054416F" w:rsidRPr="007D7BCD">
        <w:rPr>
          <w:rFonts w:ascii="Times New Roman" w:hAnsi="Times New Roman"/>
          <w:i/>
          <w:iCs/>
        </w:rPr>
        <w:t>Support of additional PDSCH scheduling delay for the introduction of 14-HARQ processes in DL, for HD-FDD Cat</w:t>
      </w:r>
      <w:r w:rsidR="007C6279">
        <w:rPr>
          <w:rFonts w:ascii="Times New Roman" w:hAnsi="Times New Roman"/>
          <w:i/>
          <w:iCs/>
        </w:rPr>
        <w:t>-</w:t>
      </w:r>
      <w:r w:rsidR="0054416F" w:rsidRPr="007D7BCD">
        <w:rPr>
          <w:rFonts w:ascii="Times New Roman" w:hAnsi="Times New Roman"/>
          <w:i/>
          <w:iCs/>
        </w:rPr>
        <w:t>M1 UEs</w:t>
      </w:r>
      <w:r w:rsidR="0054416F" w:rsidRPr="007D7BCD">
        <w:rPr>
          <w:rFonts w:ascii="Times New Roman" w:hAnsi="Times New Roman"/>
        </w:rPr>
        <w:t>”</w:t>
      </w:r>
      <w:r w:rsidRPr="007D7BCD">
        <w:rPr>
          <w:rFonts w:ascii="Times New Roman" w:hAnsi="Times New Roman"/>
        </w:rPr>
        <w:t>:</w:t>
      </w:r>
    </w:p>
    <w:p w14:paraId="3CE8650E" w14:textId="77777777" w:rsidR="00921721" w:rsidRPr="00921721" w:rsidRDefault="00921721" w:rsidP="008E065E">
      <w:pPr>
        <w:pStyle w:val="BodyText"/>
        <w:rPr>
          <w:b/>
        </w:rPr>
      </w:pPr>
    </w:p>
    <w:bookmarkStart w:id="32" w:name="_GoBack"/>
    <w:bookmarkEnd w:id="32"/>
    <w:p w14:paraId="5E33D344" w14:textId="77777777" w:rsidR="00FD019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268316" w:history="1">
        <w:r w:rsidR="00FD019C" w:rsidRPr="007610BB">
          <w:rPr>
            <w:rStyle w:val="Hyperlink"/>
            <w:noProof/>
          </w:rPr>
          <w:t>Observation 1</w:t>
        </w:r>
        <w:r w:rsidR="00FD019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D019C" w:rsidRPr="007610BB">
          <w:rPr>
            <w:rStyle w:val="Hyperlink"/>
            <w:noProof/>
          </w:rPr>
          <w:t>If no subframe bitmaps are to be configured along with the 14 HARQ processes, then the new delay of 7 could as in legacy be expressed in terms of BL/CE DL subframes.</w:t>
        </w:r>
      </w:hyperlink>
    </w:p>
    <w:p w14:paraId="053CB957" w14:textId="77777777" w:rsidR="00FD019C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68317" w:history="1">
        <w:r w:rsidRPr="007610B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10BB">
          <w:rPr>
            <w:rStyle w:val="Hyperlink"/>
            <w:noProof/>
          </w:rPr>
          <w:t>If the delay of 7 is expressed in terms of BL/CE DL subframes and subframe bitmaps were to be configured along with the 14 HARQ processes, then there will be an unnecessary non-negligible impact on the achievable peak data rate.</w:t>
        </w:r>
      </w:hyperlink>
    </w:p>
    <w:p w14:paraId="059EE5B9" w14:textId="77777777" w:rsidR="00FD019C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68318" w:history="1">
        <w:r w:rsidRPr="007610B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10BB">
          <w:rPr>
            <w:rStyle w:val="Hyperlink"/>
            <w:noProof/>
          </w:rPr>
          <w:t>The HARQ-ACK delay set should be selected accounting for the resulting set’s average delay, flexibility and the impact of non-ideal scenarios.</w:t>
        </w:r>
      </w:hyperlink>
    </w:p>
    <w:p w14:paraId="3BDF96A4" w14:textId="77777777" w:rsidR="00FD019C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68319" w:history="1">
        <w:r w:rsidRPr="007610BB">
          <w:rPr>
            <w:rStyle w:val="Hyperlink"/>
            <w:rFonts w:eastAsia="Calibri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10BB">
          <w:rPr>
            <w:rStyle w:val="Hyperlink"/>
            <w:rFonts w:eastAsia="Calibri"/>
            <w:noProof/>
          </w:rPr>
          <w:t>If the 14 HARQ processes feature handles non-BL/CE DL subframes in the same way as it handles an ideal scenario, then the peak data rate will decrease from 706 Kbps to 571.5 Kbps and 375 Kbps when there is a presence of two and five non-BL/CE DL subframes respectively.</w:t>
        </w:r>
      </w:hyperlink>
    </w:p>
    <w:p w14:paraId="0BA2E068" w14:textId="77777777" w:rsidR="00FD019C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68320" w:history="1">
        <w:r w:rsidRPr="007610BB">
          <w:rPr>
            <w:rStyle w:val="Hyperlink"/>
            <w:rFonts w:eastAsia="Calibri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10BB">
          <w:rPr>
            <w:rStyle w:val="Hyperlink"/>
            <w:rFonts w:eastAsia="Calibri"/>
            <w:noProof/>
          </w:rPr>
          <w:t>The decrease in peak data rate will be even larger if on top of the non-BL/CE DL subframes there were also presence of non-BL/CE UL subframes.</w:t>
        </w:r>
      </w:hyperlink>
    </w:p>
    <w:p w14:paraId="0287AC8F" w14:textId="77777777" w:rsidR="00FD019C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68321" w:history="1">
        <w:r w:rsidRPr="007610BB">
          <w:rPr>
            <w:rStyle w:val="Hyperlink"/>
            <w:rFonts w:eastAsia="Calibri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10BB">
          <w:rPr>
            <w:rStyle w:val="Hyperlink"/>
            <w:rFonts w:eastAsia="Calibri"/>
            <w:noProof/>
          </w:rPr>
          <w:t>If the 14 HARQ processes feature were not designed to deal with the presence of non-BL/CE subframes, then the larger the presence of non-BL/CE subframes the lower will be the achievable peak data rate.</w:t>
        </w:r>
      </w:hyperlink>
    </w:p>
    <w:p w14:paraId="29F394F6" w14:textId="77777777" w:rsidR="00FD019C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68322" w:history="1">
        <w:r w:rsidRPr="007610BB">
          <w:rPr>
            <w:rStyle w:val="Hyperlink"/>
            <w:rFonts w:eastAsia="Calibri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10BB">
          <w:rPr>
            <w:rStyle w:val="Hyperlink"/>
            <w:rFonts w:eastAsia="Calibri"/>
            <w:noProof/>
          </w:rPr>
          <w:t>The relevance of non-BL/CE subframes has become even more important now that they are used for NR coexistence.</w:t>
        </w:r>
      </w:hyperlink>
    </w:p>
    <w:p w14:paraId="00A65EE4" w14:textId="77777777" w:rsidR="00FD019C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268323" w:history="1">
        <w:r w:rsidRPr="007610BB">
          <w:rPr>
            <w:rStyle w:val="Hyperlink"/>
            <w:noProof/>
            <w:lang w:val="en-US" w:eastAsia="en-GB"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10BB">
          <w:rPr>
            <w:rStyle w:val="Hyperlink"/>
            <w:noProof/>
            <w:lang w:val="en-US" w:eastAsia="en-GB"/>
          </w:rPr>
          <w:t>Even if the 14 HARQ processes feature were to be used only in good radio conditions, in certain scenarios (e.g., a temporary shadowing condition) having the possibility of using repetitions would be beneficial for the feature.</w:t>
        </w:r>
      </w:hyperlink>
    </w:p>
    <w:p w14:paraId="4E0AD7EF" w14:textId="0992F9D1" w:rsidR="008E4E68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FEA5AA" w14:textId="537BC394" w:rsidR="006E1C82" w:rsidRDefault="008E065E" w:rsidP="006E1C82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on the discussion in </w:t>
      </w:r>
      <w:r w:rsidR="007729A2" w:rsidRPr="000F2FA6">
        <w:rPr>
          <w:rFonts w:ascii="Times New Roman" w:hAnsi="Times New Roman"/>
        </w:rPr>
        <w:t xml:space="preserve">the previous </w:t>
      </w:r>
      <w:r w:rsidRPr="000F2FA6">
        <w:rPr>
          <w:rFonts w:ascii="Times New Roman" w:hAnsi="Times New Roman"/>
        </w:rPr>
        <w:t>section</w:t>
      </w:r>
      <w:r w:rsidR="007729A2" w:rsidRPr="000F2FA6">
        <w:rPr>
          <w:rFonts w:ascii="Times New Roman" w:hAnsi="Times New Roman"/>
        </w:rPr>
        <w:t>s</w:t>
      </w:r>
      <w:r w:rsidRPr="000F2FA6">
        <w:rPr>
          <w:rFonts w:ascii="Times New Roman" w:hAnsi="Times New Roman"/>
        </w:rPr>
        <w:t xml:space="preserve"> we propose the following:</w:t>
      </w:r>
    </w:p>
    <w:p w14:paraId="52F97727" w14:textId="77777777" w:rsidR="006B4055" w:rsidRPr="000F2FA6" w:rsidRDefault="006B4055" w:rsidP="006E1C82">
      <w:pPr>
        <w:pStyle w:val="BodyText"/>
        <w:rPr>
          <w:rFonts w:ascii="Times New Roman" w:hAnsi="Times New Roman"/>
        </w:rPr>
      </w:pPr>
    </w:p>
    <w:p w14:paraId="5DF2762C" w14:textId="77777777" w:rsidR="007D0FD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016080" w:history="1">
        <w:r w:rsidR="007D0FDA" w:rsidRPr="007C593C">
          <w:rPr>
            <w:rStyle w:val="Hyperlink"/>
            <w:rFonts w:eastAsia="Calibri"/>
            <w:noProof/>
          </w:rPr>
          <w:t>Proposal 1</w:t>
        </w:r>
        <w:r w:rsidR="007D0F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0FDA" w:rsidRPr="007C593C">
          <w:rPr>
            <w:rStyle w:val="Hyperlink"/>
            <w:rFonts w:eastAsia="Calibri"/>
            <w:noProof/>
          </w:rPr>
          <w:t>The 14 HARQ processes feature supports the case when there is presence of non-BL/CE subframes at least in the PUCCH non-repetition case.</w:t>
        </w:r>
      </w:hyperlink>
    </w:p>
    <w:p w14:paraId="39AC65EE" w14:textId="77777777" w:rsidR="007D0FDA" w:rsidRDefault="00FD019C" w:rsidP="007D0FD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016081" w:history="1">
        <w:r w:rsidR="007D0FDA" w:rsidRPr="007C593C">
          <w:rPr>
            <w:rStyle w:val="Hyperlink"/>
            <w:rFonts w:ascii="Wingdings" w:eastAsia="Calibri" w:hAnsi="Wingdings"/>
            <w:noProof/>
          </w:rPr>
          <w:t></w:t>
        </w:r>
        <w:r w:rsidR="007D0F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0FDA" w:rsidRPr="007C593C">
          <w:rPr>
            <w:rStyle w:val="Hyperlink"/>
            <w:rFonts w:eastAsia="Calibri"/>
            <w:noProof/>
          </w:rPr>
          <w:t>FFS: Details of signalling</w:t>
        </w:r>
      </w:hyperlink>
    </w:p>
    <w:p w14:paraId="25CF1D2D" w14:textId="77777777" w:rsidR="007D0FDA" w:rsidRDefault="00FD019C" w:rsidP="007D0FD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016082" w:history="1">
        <w:r w:rsidR="007D0FDA" w:rsidRPr="007C593C">
          <w:rPr>
            <w:rStyle w:val="Hyperlink"/>
            <w:rFonts w:ascii="Wingdings" w:eastAsia="Calibri" w:hAnsi="Wingdings"/>
            <w:noProof/>
          </w:rPr>
          <w:t></w:t>
        </w:r>
        <w:r w:rsidR="007D0F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0FDA" w:rsidRPr="007C593C">
          <w:rPr>
            <w:rStyle w:val="Hyperlink"/>
            <w:rFonts w:eastAsia="Calibri"/>
            <w:noProof/>
          </w:rPr>
          <w:t>FFS: PDSCH scheduling delays</w:t>
        </w:r>
      </w:hyperlink>
    </w:p>
    <w:p w14:paraId="159F064A" w14:textId="77777777" w:rsidR="007D0FDA" w:rsidRDefault="00FD019C" w:rsidP="007D0FDA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016083" w:history="1">
        <w:r w:rsidR="007D0FDA" w:rsidRPr="007C593C">
          <w:rPr>
            <w:rStyle w:val="Hyperlink"/>
            <w:rFonts w:ascii="Wingdings" w:eastAsia="Calibri" w:hAnsi="Wingdings"/>
            <w:noProof/>
          </w:rPr>
          <w:t></w:t>
        </w:r>
        <w:r w:rsidR="007D0F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0FDA" w:rsidRPr="007C593C">
          <w:rPr>
            <w:rStyle w:val="Hyperlink"/>
            <w:rFonts w:eastAsia="Calibri"/>
            <w:noProof/>
          </w:rPr>
          <w:t>FFS: HARQ-ACK delays</w:t>
        </w:r>
      </w:hyperlink>
    </w:p>
    <w:p w14:paraId="10C10E8A" w14:textId="77777777" w:rsidR="007D0FDA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016084" w:history="1">
        <w:r w:rsidR="007D0FDA" w:rsidRPr="007C593C">
          <w:rPr>
            <w:rStyle w:val="Hyperlink"/>
            <w:noProof/>
            <w:lang w:val="en-US"/>
          </w:rPr>
          <w:t>Proposal 2</w:t>
        </w:r>
        <w:r w:rsidR="007D0F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0FDA" w:rsidRPr="007C593C">
          <w:rPr>
            <w:rStyle w:val="Hyperlink"/>
            <w:noProof/>
            <w:lang w:val="en-US"/>
          </w:rPr>
          <w:t>If the 14 HARQ processes feature supports the PUCCH repetition case, the same framework that supports the presence of non-BL/CE subframes should be used.</w:t>
        </w:r>
      </w:hyperlink>
    </w:p>
    <w:p w14:paraId="59578CD0" w14:textId="77777777" w:rsidR="007D0FDA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016085" w:history="1">
        <w:r w:rsidR="007D0FDA" w:rsidRPr="007C593C">
          <w:rPr>
            <w:rStyle w:val="Hyperlink"/>
            <w:noProof/>
          </w:rPr>
          <w:t>Proposal 3</w:t>
        </w:r>
        <w:r w:rsidR="007D0F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0FDA" w:rsidRPr="007C593C">
          <w:rPr>
            <w:rStyle w:val="Hyperlink"/>
            <w:noProof/>
          </w:rPr>
          <w:t>FFS: Impact of measurement gaps on the 14 HARQ processes feature.</w:t>
        </w:r>
      </w:hyperlink>
    </w:p>
    <w:p w14:paraId="0EC1E8BF" w14:textId="77777777" w:rsidR="007D0FDA" w:rsidRDefault="00FD01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016086" w:history="1">
        <w:r w:rsidR="007D0FDA" w:rsidRPr="007C593C">
          <w:rPr>
            <w:rStyle w:val="Hyperlink"/>
            <w:noProof/>
          </w:rPr>
          <w:t>Proposal 4</w:t>
        </w:r>
        <w:r w:rsidR="007D0F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0FDA" w:rsidRPr="007C593C">
          <w:rPr>
            <w:rStyle w:val="Hyperlink"/>
            <w:noProof/>
          </w:rPr>
          <w:t>FFS: Impact and potential benefits of supporting Multi-TB grant for the 14 processes feature.</w:t>
        </w:r>
      </w:hyperlink>
    </w:p>
    <w:p w14:paraId="5A1EB9E8" w14:textId="400AB16B" w:rsidR="006E1C82" w:rsidRPr="00DC410E" w:rsidRDefault="006E1C82" w:rsidP="006E1C82">
      <w:pPr>
        <w:pStyle w:val="BodyText"/>
        <w:rPr>
          <w:b/>
          <w:lang w:val="en-US"/>
        </w:rPr>
      </w:pPr>
      <w:r>
        <w:rPr>
          <w:b/>
          <w:bCs/>
          <w:lang w:val="en-US"/>
        </w:rPr>
        <w:fldChar w:fldCharType="end"/>
      </w:r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33" w:name="_Ref174151459"/>
    <w:bookmarkStart w:id="34" w:name="_Ref189809556"/>
    <w:bookmarkStart w:id="35" w:name="_Ref525824664"/>
    <w:bookmarkStart w:id="36" w:name="_Hlk4751152"/>
    <w:p w14:paraId="5AFBFE6D" w14:textId="43BEBFC2" w:rsidR="00CF4F41" w:rsidRDefault="00CF4F41" w:rsidP="00CF4F41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F617C6">
        <w:t>“</w:t>
      </w:r>
      <w:r w:rsidRPr="00106987">
        <w:t>WID</w:t>
      </w:r>
      <w:r w:rsidR="00F617C6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F617C6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F617C6">
        <w:t xml:space="preserve"> –</w:t>
      </w:r>
      <w:r w:rsidR="00A540AD">
        <w:t xml:space="preserve"> July</w:t>
      </w:r>
      <w:r w:rsidR="00F617C6">
        <w:t xml:space="preserve">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</w:p>
    <w:p w14:paraId="07CF55D7" w14:textId="6AFC677A" w:rsidR="002A6804" w:rsidRDefault="002A6804" w:rsidP="002A6804">
      <w:pPr>
        <w:pStyle w:val="Reference"/>
      </w:pPr>
      <w:r w:rsidRPr="002A6804">
        <w:t>Session notes for 6.2.1 (Maintenance of Additional MTC Enhancements) and 6.2.2 (Maintenance of Additional Enhancements for NB-IoT), Ad-hoc chair (Samsung), 3GPP TSG RAN WG1 Meeting #102-e, e-Meeting, August 17th – 28th, 2020.</w:t>
      </w:r>
    </w:p>
    <w:bookmarkEnd w:id="33"/>
    <w:bookmarkEnd w:id="34"/>
    <w:bookmarkEnd w:id="35"/>
    <w:bookmarkEnd w:id="36"/>
    <w:p w14:paraId="1BB94E90" w14:textId="063AB9BF" w:rsidR="002A6804" w:rsidRDefault="002A6804" w:rsidP="002A6804">
      <w:pPr>
        <w:pStyle w:val="Reference"/>
      </w:pPr>
      <w:r>
        <w:fldChar w:fldCharType="begin"/>
      </w:r>
      <w:r>
        <w:instrText xml:space="preserve"> HYPERLINK "http://www.3gpp.org/ftp/TSG_RAN/WG1_RL1/TSGR1_102-e/Docs/R1-2006193.zip" </w:instrText>
      </w:r>
      <w:r>
        <w:fldChar w:fldCharType="separate"/>
      </w:r>
      <w:r w:rsidRPr="002A6804">
        <w:rPr>
          <w:rStyle w:val="Hyperlink"/>
        </w:rPr>
        <w:t>R1-2006193</w:t>
      </w:r>
      <w:r>
        <w:fldChar w:fldCharType="end"/>
      </w:r>
      <w:r w:rsidR="000E7622" w:rsidRPr="000227F6">
        <w:t xml:space="preserve">, </w:t>
      </w:r>
      <w:r w:rsidR="007A5E11">
        <w:t>“</w:t>
      </w:r>
      <w:r w:rsidRPr="002A6804">
        <w:t>Support of 14 HARQ processes and scheduling delay</w:t>
      </w:r>
      <w:r>
        <w:t>,</w:t>
      </w:r>
      <w:r w:rsidR="007A5E11">
        <w:t>”</w:t>
      </w:r>
      <w:r w:rsidR="007A5E11" w:rsidRPr="007A5E11">
        <w:t xml:space="preserve"> Qualcomm Incorporated,</w:t>
      </w:r>
      <w:r>
        <w:t xml:space="preserve"> </w:t>
      </w:r>
      <w:r w:rsidRPr="002A6804">
        <w:t>3GPP TSG RAN WG1 Meeting #102-e, e-Meeting, August 17th – 28th, 2020.</w:t>
      </w:r>
    </w:p>
    <w:p w14:paraId="5ED4C435" w14:textId="2510EBAF" w:rsidR="000E7622" w:rsidRDefault="00FD019C" w:rsidP="002A6804">
      <w:pPr>
        <w:pStyle w:val="Reference"/>
      </w:pPr>
      <w:hyperlink r:id="rId13" w:history="1">
        <w:r w:rsidR="002A6804" w:rsidRPr="002A6804">
          <w:rPr>
            <w:rStyle w:val="Hyperlink"/>
          </w:rPr>
          <w:t>R1-205940</w:t>
        </w:r>
      </w:hyperlink>
      <w:r w:rsidR="002A6804" w:rsidRPr="000227F6">
        <w:t xml:space="preserve">, </w:t>
      </w:r>
      <w:r w:rsidR="002A6804">
        <w:t>“</w:t>
      </w:r>
      <w:r w:rsidR="002A6804" w:rsidRPr="002A6804">
        <w:t>Design considerations to support 14-HARQ for LTE-M</w:t>
      </w:r>
      <w:r w:rsidR="002A6804" w:rsidRPr="00106987">
        <w:t>,</w:t>
      </w:r>
      <w:r w:rsidR="002A6804">
        <w:t>”</w:t>
      </w:r>
      <w:r w:rsidR="002A6804" w:rsidRPr="007A5E11">
        <w:t xml:space="preserve"> </w:t>
      </w:r>
      <w:r w:rsidR="002A6804">
        <w:t>Sierra Wireless</w:t>
      </w:r>
      <w:r w:rsidR="002A6804" w:rsidRPr="007A5E11">
        <w:t>,</w:t>
      </w:r>
      <w:r w:rsidR="002A6804">
        <w:t xml:space="preserve"> </w:t>
      </w:r>
      <w:r w:rsidR="002A6804" w:rsidRPr="002A6804">
        <w:t>3GPP TSG RAN WG1 Meeting #102-e, e-Meeting, August 17th – 28th, 2020.</w:t>
      </w:r>
    </w:p>
    <w:p w14:paraId="4897B162" w14:textId="77777777" w:rsidR="000E7622" w:rsidRDefault="000E7622" w:rsidP="000E7622">
      <w:pPr>
        <w:pStyle w:val="Reference"/>
        <w:numPr>
          <w:ilvl w:val="0"/>
          <w:numId w:val="0"/>
        </w:numPr>
        <w:ind w:left="567"/>
      </w:pPr>
    </w:p>
    <w:p w14:paraId="7580220F" w14:textId="77777777" w:rsidR="0081481C" w:rsidRDefault="0081481C" w:rsidP="0081481C">
      <w:pPr>
        <w:pStyle w:val="Reference"/>
        <w:numPr>
          <w:ilvl w:val="0"/>
          <w:numId w:val="0"/>
        </w:numPr>
        <w:ind w:left="567"/>
      </w:pPr>
    </w:p>
    <w:sectPr w:rsidR="0081481C" w:rsidSect="007F4FA6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521727A" w16cex:dateUtc="2020-09-22T07:18:00Z"/>
  <w16cex:commentExtensible w16cex:durableId="5D07CC08" w16cex:dateUtc="2020-09-22T07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2FCD3" w14:textId="77777777" w:rsidR="00537D10" w:rsidRDefault="00537D10">
      <w:r>
        <w:separator/>
      </w:r>
    </w:p>
  </w:endnote>
  <w:endnote w:type="continuationSeparator" w:id="0">
    <w:p w14:paraId="0FC41E15" w14:textId="77777777" w:rsidR="00537D10" w:rsidRDefault="00537D10">
      <w:r>
        <w:continuationSeparator/>
      </w:r>
    </w:p>
  </w:endnote>
  <w:endnote w:type="continuationNotice" w:id="1">
    <w:p w14:paraId="55F0EE93" w14:textId="77777777" w:rsidR="00537D10" w:rsidRDefault="00537D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537D10" w:rsidRDefault="00537D1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87C87" w14:textId="77777777" w:rsidR="00537D10" w:rsidRDefault="00537D10">
      <w:r>
        <w:separator/>
      </w:r>
    </w:p>
  </w:footnote>
  <w:footnote w:type="continuationSeparator" w:id="0">
    <w:p w14:paraId="7BD8A2D7" w14:textId="77777777" w:rsidR="00537D10" w:rsidRDefault="00537D10">
      <w:r>
        <w:continuationSeparator/>
      </w:r>
    </w:p>
  </w:footnote>
  <w:footnote w:type="continuationNotice" w:id="1">
    <w:p w14:paraId="3A4DE09E" w14:textId="77777777" w:rsidR="00537D10" w:rsidRDefault="00537D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537D10" w:rsidRDefault="00537D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10C6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2A209152"/>
    <w:lvl w:ilvl="0" w:tplc="578CF6A6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E8BAF004">
      <w:numFmt w:val="decimal"/>
      <w:lvlText w:val=""/>
      <w:lvlJc w:val="left"/>
    </w:lvl>
    <w:lvl w:ilvl="2" w:tplc="673CC062">
      <w:numFmt w:val="decimal"/>
      <w:lvlText w:val=""/>
      <w:lvlJc w:val="left"/>
    </w:lvl>
    <w:lvl w:ilvl="3" w:tplc="FFEA5AB0">
      <w:numFmt w:val="decimal"/>
      <w:lvlText w:val=""/>
      <w:lvlJc w:val="left"/>
    </w:lvl>
    <w:lvl w:ilvl="4" w:tplc="9F4A7450">
      <w:numFmt w:val="decimal"/>
      <w:lvlText w:val=""/>
      <w:lvlJc w:val="left"/>
    </w:lvl>
    <w:lvl w:ilvl="5" w:tplc="B278118E">
      <w:numFmt w:val="decimal"/>
      <w:lvlText w:val=""/>
      <w:lvlJc w:val="left"/>
    </w:lvl>
    <w:lvl w:ilvl="6" w:tplc="B9906A28">
      <w:numFmt w:val="decimal"/>
      <w:lvlText w:val=""/>
      <w:lvlJc w:val="left"/>
    </w:lvl>
    <w:lvl w:ilvl="7" w:tplc="1020E11E">
      <w:numFmt w:val="decimal"/>
      <w:lvlText w:val=""/>
      <w:lvlJc w:val="left"/>
    </w:lvl>
    <w:lvl w:ilvl="8" w:tplc="BDF6219A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5920790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65AE6228">
      <w:numFmt w:val="decimal"/>
      <w:lvlText w:val=""/>
      <w:lvlJc w:val="left"/>
    </w:lvl>
    <w:lvl w:ilvl="2" w:tplc="EC762824">
      <w:numFmt w:val="decimal"/>
      <w:lvlText w:val=""/>
      <w:lvlJc w:val="left"/>
    </w:lvl>
    <w:lvl w:ilvl="3" w:tplc="7754581A">
      <w:numFmt w:val="decimal"/>
      <w:lvlText w:val=""/>
      <w:lvlJc w:val="left"/>
    </w:lvl>
    <w:lvl w:ilvl="4" w:tplc="687269C2">
      <w:numFmt w:val="decimal"/>
      <w:lvlText w:val=""/>
      <w:lvlJc w:val="left"/>
    </w:lvl>
    <w:lvl w:ilvl="5" w:tplc="BCB85D74">
      <w:numFmt w:val="decimal"/>
      <w:lvlText w:val=""/>
      <w:lvlJc w:val="left"/>
    </w:lvl>
    <w:lvl w:ilvl="6" w:tplc="B966F0EC">
      <w:numFmt w:val="decimal"/>
      <w:lvlText w:val=""/>
      <w:lvlJc w:val="left"/>
    </w:lvl>
    <w:lvl w:ilvl="7" w:tplc="2C88ADAC">
      <w:numFmt w:val="decimal"/>
      <w:lvlText w:val=""/>
      <w:lvlJc w:val="left"/>
    </w:lvl>
    <w:lvl w:ilvl="8" w:tplc="1F5463AA">
      <w:numFmt w:val="decimal"/>
      <w:lvlText w:val=""/>
      <w:lvlJc w:val="left"/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8C5214"/>
    <w:multiLevelType w:val="hybridMultilevel"/>
    <w:tmpl w:val="1F020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A43F1E"/>
    <w:multiLevelType w:val="hybridMultilevel"/>
    <w:tmpl w:val="64BAC0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7648E3"/>
    <w:multiLevelType w:val="hybridMultilevel"/>
    <w:tmpl w:val="9A3C8E7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hybridMultilevel"/>
    <w:tmpl w:val="947A7058"/>
    <w:lvl w:ilvl="0" w:tplc="F68E48A8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A565654">
      <w:numFmt w:val="decimal"/>
      <w:lvlText w:val=""/>
      <w:lvlJc w:val="left"/>
    </w:lvl>
    <w:lvl w:ilvl="2" w:tplc="6848EF92">
      <w:numFmt w:val="decimal"/>
      <w:lvlText w:val=""/>
      <w:lvlJc w:val="left"/>
    </w:lvl>
    <w:lvl w:ilvl="3" w:tplc="5ECAFA1C">
      <w:numFmt w:val="decimal"/>
      <w:lvlText w:val=""/>
      <w:lvlJc w:val="left"/>
    </w:lvl>
    <w:lvl w:ilvl="4" w:tplc="9CBAF7EC">
      <w:numFmt w:val="decimal"/>
      <w:lvlText w:val=""/>
      <w:lvlJc w:val="left"/>
    </w:lvl>
    <w:lvl w:ilvl="5" w:tplc="9D7889E6">
      <w:numFmt w:val="decimal"/>
      <w:lvlText w:val=""/>
      <w:lvlJc w:val="left"/>
    </w:lvl>
    <w:lvl w:ilvl="6" w:tplc="B1162104">
      <w:numFmt w:val="decimal"/>
      <w:lvlText w:val=""/>
      <w:lvlJc w:val="left"/>
    </w:lvl>
    <w:lvl w:ilvl="7" w:tplc="16B0D9B6">
      <w:numFmt w:val="decimal"/>
      <w:lvlText w:val=""/>
      <w:lvlJc w:val="left"/>
    </w:lvl>
    <w:lvl w:ilvl="8" w:tplc="C0866584">
      <w:numFmt w:val="decimal"/>
      <w:lvlText w:val=""/>
      <w:lvlJc w:val="left"/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635EF"/>
    <w:multiLevelType w:val="hybridMultilevel"/>
    <w:tmpl w:val="A49451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E02CE1"/>
    <w:multiLevelType w:val="hybridMultilevel"/>
    <w:tmpl w:val="FDF6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"/>
  </w:num>
  <w:num w:numId="4">
    <w:abstractNumId w:val="24"/>
  </w:num>
  <w:num w:numId="5">
    <w:abstractNumId w:val="26"/>
  </w:num>
  <w:num w:numId="6">
    <w:abstractNumId w:val="28"/>
  </w:num>
  <w:num w:numId="7">
    <w:abstractNumId w:val="11"/>
  </w:num>
  <w:num w:numId="8">
    <w:abstractNumId w:val="13"/>
  </w:num>
  <w:num w:numId="9">
    <w:abstractNumId w:val="6"/>
  </w:num>
  <w:num w:numId="10">
    <w:abstractNumId w:val="35"/>
  </w:num>
  <w:num w:numId="11">
    <w:abstractNumId w:val="17"/>
  </w:num>
  <w:num w:numId="12">
    <w:abstractNumId w:val="30"/>
  </w:num>
  <w:num w:numId="13">
    <w:abstractNumId w:val="25"/>
  </w:num>
  <w:num w:numId="14">
    <w:abstractNumId w:val="15"/>
  </w:num>
  <w:num w:numId="15">
    <w:abstractNumId w:val="37"/>
  </w:num>
  <w:num w:numId="16">
    <w:abstractNumId w:val="18"/>
  </w:num>
  <w:num w:numId="17">
    <w:abstractNumId w:val="8"/>
  </w:num>
  <w:num w:numId="18">
    <w:abstractNumId w:val="32"/>
  </w:num>
  <w:num w:numId="19">
    <w:abstractNumId w:val="31"/>
  </w:num>
  <w:num w:numId="20">
    <w:abstractNumId w:val="4"/>
  </w:num>
  <w:num w:numId="21">
    <w:abstractNumId w:val="9"/>
  </w:num>
  <w:num w:numId="22">
    <w:abstractNumId w:val="7"/>
  </w:num>
  <w:num w:numId="23">
    <w:abstractNumId w:val="34"/>
  </w:num>
  <w:num w:numId="24">
    <w:abstractNumId w:val="3"/>
  </w:num>
  <w:num w:numId="25">
    <w:abstractNumId w:val="27"/>
  </w:num>
  <w:num w:numId="26">
    <w:abstractNumId w:val="29"/>
  </w:num>
  <w:num w:numId="27">
    <w:abstractNumId w:val="21"/>
  </w:num>
  <w:num w:numId="28">
    <w:abstractNumId w:val="5"/>
  </w:num>
  <w:num w:numId="29">
    <w:abstractNumId w:val="1"/>
  </w:num>
  <w:num w:numId="30">
    <w:abstractNumId w:val="0"/>
  </w:num>
  <w:num w:numId="31">
    <w:abstractNumId w:val="24"/>
  </w:num>
  <w:num w:numId="32">
    <w:abstractNumId w:val="10"/>
  </w:num>
  <w:num w:numId="33">
    <w:abstractNumId w:val="22"/>
  </w:num>
  <w:num w:numId="34">
    <w:abstractNumId w:val="36"/>
  </w:num>
  <w:num w:numId="35">
    <w:abstractNumId w:val="33"/>
  </w:num>
  <w:num w:numId="36">
    <w:abstractNumId w:val="12"/>
  </w:num>
  <w:num w:numId="37">
    <w:abstractNumId w:val="14"/>
  </w:num>
  <w:num w:numId="38">
    <w:abstractNumId w:val="16"/>
  </w:num>
  <w:num w:numId="39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339"/>
    <w:rsid w:val="000126BA"/>
    <w:rsid w:val="00012D00"/>
    <w:rsid w:val="00013BA8"/>
    <w:rsid w:val="00013F17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447"/>
    <w:rsid w:val="0002070C"/>
    <w:rsid w:val="00020A32"/>
    <w:rsid w:val="00021072"/>
    <w:rsid w:val="000214FF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381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34D"/>
    <w:rsid w:val="00043F1A"/>
    <w:rsid w:val="000444D5"/>
    <w:rsid w:val="000444EF"/>
    <w:rsid w:val="00044B91"/>
    <w:rsid w:val="0004530D"/>
    <w:rsid w:val="00045501"/>
    <w:rsid w:val="000455A1"/>
    <w:rsid w:val="00045BC2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077"/>
    <w:rsid w:val="000717FB"/>
    <w:rsid w:val="0007183A"/>
    <w:rsid w:val="00071A30"/>
    <w:rsid w:val="00071E0C"/>
    <w:rsid w:val="00072262"/>
    <w:rsid w:val="00072581"/>
    <w:rsid w:val="0007335A"/>
    <w:rsid w:val="00073AE0"/>
    <w:rsid w:val="00073AF0"/>
    <w:rsid w:val="00074015"/>
    <w:rsid w:val="000740AC"/>
    <w:rsid w:val="000757A0"/>
    <w:rsid w:val="00076502"/>
    <w:rsid w:val="0007673F"/>
    <w:rsid w:val="00076887"/>
    <w:rsid w:val="00077E5F"/>
    <w:rsid w:val="0008036A"/>
    <w:rsid w:val="00080BB7"/>
    <w:rsid w:val="00081293"/>
    <w:rsid w:val="000813C6"/>
    <w:rsid w:val="00081560"/>
    <w:rsid w:val="0008197D"/>
    <w:rsid w:val="00081AE6"/>
    <w:rsid w:val="0008294A"/>
    <w:rsid w:val="00083425"/>
    <w:rsid w:val="0008369A"/>
    <w:rsid w:val="00083F22"/>
    <w:rsid w:val="00084943"/>
    <w:rsid w:val="000851A1"/>
    <w:rsid w:val="000855DE"/>
    <w:rsid w:val="000855EB"/>
    <w:rsid w:val="00085B52"/>
    <w:rsid w:val="00086603"/>
    <w:rsid w:val="000866F2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32"/>
    <w:rsid w:val="00093474"/>
    <w:rsid w:val="0009366E"/>
    <w:rsid w:val="00093C62"/>
    <w:rsid w:val="00093E60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878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830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47A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122"/>
    <w:rsid w:val="000C7C27"/>
    <w:rsid w:val="000D003E"/>
    <w:rsid w:val="000D0D07"/>
    <w:rsid w:val="000D0ED1"/>
    <w:rsid w:val="000D33D8"/>
    <w:rsid w:val="000D3743"/>
    <w:rsid w:val="000D3941"/>
    <w:rsid w:val="000D399C"/>
    <w:rsid w:val="000D3A90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28"/>
    <w:rsid w:val="000E1CEB"/>
    <w:rsid w:val="000E1E17"/>
    <w:rsid w:val="000E1E92"/>
    <w:rsid w:val="000E27D8"/>
    <w:rsid w:val="000E30B2"/>
    <w:rsid w:val="000E30DA"/>
    <w:rsid w:val="000E37AA"/>
    <w:rsid w:val="000E3CB3"/>
    <w:rsid w:val="000E52A4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A0F"/>
    <w:rsid w:val="000F1F52"/>
    <w:rsid w:val="000F2BC4"/>
    <w:rsid w:val="000F2DC7"/>
    <w:rsid w:val="000F2FA6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C31"/>
    <w:rsid w:val="0010522E"/>
    <w:rsid w:val="00105862"/>
    <w:rsid w:val="001062FB"/>
    <w:rsid w:val="001063E6"/>
    <w:rsid w:val="00106882"/>
    <w:rsid w:val="00106987"/>
    <w:rsid w:val="00106AAA"/>
    <w:rsid w:val="00106E7F"/>
    <w:rsid w:val="00106F5C"/>
    <w:rsid w:val="00110E2B"/>
    <w:rsid w:val="0011118D"/>
    <w:rsid w:val="00112AF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6CCC"/>
    <w:rsid w:val="001170AA"/>
    <w:rsid w:val="00117A78"/>
    <w:rsid w:val="001207A8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3FE5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2C3A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3FA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28C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7BF4"/>
    <w:rsid w:val="001B01AD"/>
    <w:rsid w:val="001B0217"/>
    <w:rsid w:val="001B0C0C"/>
    <w:rsid w:val="001B0D97"/>
    <w:rsid w:val="001B1AD0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2EE"/>
    <w:rsid w:val="001C3D2A"/>
    <w:rsid w:val="001C44EC"/>
    <w:rsid w:val="001C45C4"/>
    <w:rsid w:val="001C4B49"/>
    <w:rsid w:val="001C5BCB"/>
    <w:rsid w:val="001C609A"/>
    <w:rsid w:val="001C61B9"/>
    <w:rsid w:val="001C6250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0F95"/>
    <w:rsid w:val="001E0FEC"/>
    <w:rsid w:val="001E11B2"/>
    <w:rsid w:val="001E1909"/>
    <w:rsid w:val="001E2C01"/>
    <w:rsid w:val="001E39A8"/>
    <w:rsid w:val="001E436E"/>
    <w:rsid w:val="001E58E2"/>
    <w:rsid w:val="001E5F9A"/>
    <w:rsid w:val="001E727B"/>
    <w:rsid w:val="001E7703"/>
    <w:rsid w:val="001E7AED"/>
    <w:rsid w:val="001F036F"/>
    <w:rsid w:val="001F15E1"/>
    <w:rsid w:val="001F23D0"/>
    <w:rsid w:val="001F2869"/>
    <w:rsid w:val="001F2C16"/>
    <w:rsid w:val="001F3916"/>
    <w:rsid w:val="001F395E"/>
    <w:rsid w:val="001F4763"/>
    <w:rsid w:val="001F4942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D71"/>
    <w:rsid w:val="00200490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AC1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804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7BC"/>
    <w:rsid w:val="002B1BF2"/>
    <w:rsid w:val="002B24D6"/>
    <w:rsid w:val="002B3C3D"/>
    <w:rsid w:val="002B4523"/>
    <w:rsid w:val="002B5E2A"/>
    <w:rsid w:val="002B64AA"/>
    <w:rsid w:val="002B747E"/>
    <w:rsid w:val="002B7C0D"/>
    <w:rsid w:val="002B7C12"/>
    <w:rsid w:val="002C0463"/>
    <w:rsid w:val="002C0EA8"/>
    <w:rsid w:val="002C12C3"/>
    <w:rsid w:val="002C165B"/>
    <w:rsid w:val="002C1890"/>
    <w:rsid w:val="002C1E21"/>
    <w:rsid w:val="002C29B6"/>
    <w:rsid w:val="002C2B26"/>
    <w:rsid w:val="002C35F8"/>
    <w:rsid w:val="002C3794"/>
    <w:rsid w:val="002C41E6"/>
    <w:rsid w:val="002C4325"/>
    <w:rsid w:val="002C4B82"/>
    <w:rsid w:val="002C4D39"/>
    <w:rsid w:val="002C4E3D"/>
    <w:rsid w:val="002C4FFD"/>
    <w:rsid w:val="002C689D"/>
    <w:rsid w:val="002C6AEE"/>
    <w:rsid w:val="002C6D36"/>
    <w:rsid w:val="002C7352"/>
    <w:rsid w:val="002C782D"/>
    <w:rsid w:val="002D0010"/>
    <w:rsid w:val="002D071A"/>
    <w:rsid w:val="002D09F6"/>
    <w:rsid w:val="002D0BF4"/>
    <w:rsid w:val="002D0E30"/>
    <w:rsid w:val="002D1040"/>
    <w:rsid w:val="002D16C0"/>
    <w:rsid w:val="002D26AA"/>
    <w:rsid w:val="002D2BD8"/>
    <w:rsid w:val="002D2E65"/>
    <w:rsid w:val="002D34B2"/>
    <w:rsid w:val="002D4734"/>
    <w:rsid w:val="002D48B0"/>
    <w:rsid w:val="002D4D2C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CC7"/>
    <w:rsid w:val="002E3199"/>
    <w:rsid w:val="002E344A"/>
    <w:rsid w:val="002E37F4"/>
    <w:rsid w:val="002E3B5B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2F9"/>
    <w:rsid w:val="002F453C"/>
    <w:rsid w:val="002F468C"/>
    <w:rsid w:val="002F473F"/>
    <w:rsid w:val="002F47CF"/>
    <w:rsid w:val="002F4ADD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976"/>
    <w:rsid w:val="00303B17"/>
    <w:rsid w:val="00303DD1"/>
    <w:rsid w:val="003048EB"/>
    <w:rsid w:val="00304E13"/>
    <w:rsid w:val="00304F17"/>
    <w:rsid w:val="0030501F"/>
    <w:rsid w:val="00305518"/>
    <w:rsid w:val="00305632"/>
    <w:rsid w:val="003056D2"/>
    <w:rsid w:val="003057B0"/>
    <w:rsid w:val="0030617B"/>
    <w:rsid w:val="00306286"/>
    <w:rsid w:val="00306B43"/>
    <w:rsid w:val="00306E4D"/>
    <w:rsid w:val="00307487"/>
    <w:rsid w:val="003074E6"/>
    <w:rsid w:val="00307A2F"/>
    <w:rsid w:val="00307BA1"/>
    <w:rsid w:val="00307FE0"/>
    <w:rsid w:val="00310C60"/>
    <w:rsid w:val="00311024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6D2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17F16"/>
    <w:rsid w:val="003203ED"/>
    <w:rsid w:val="00320688"/>
    <w:rsid w:val="00320EF2"/>
    <w:rsid w:val="003216B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199"/>
    <w:rsid w:val="00340547"/>
    <w:rsid w:val="00341022"/>
    <w:rsid w:val="00342BD7"/>
    <w:rsid w:val="00343469"/>
    <w:rsid w:val="00344EAC"/>
    <w:rsid w:val="0034578E"/>
    <w:rsid w:val="00345ED2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0ED3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4CB1"/>
    <w:rsid w:val="003652E7"/>
    <w:rsid w:val="0036606B"/>
    <w:rsid w:val="003663FA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43F2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EBE"/>
    <w:rsid w:val="00394556"/>
    <w:rsid w:val="0039473E"/>
    <w:rsid w:val="00394BCB"/>
    <w:rsid w:val="00394FE6"/>
    <w:rsid w:val="003950D1"/>
    <w:rsid w:val="00395181"/>
    <w:rsid w:val="00397D2C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4F9"/>
    <w:rsid w:val="003B369F"/>
    <w:rsid w:val="003B36A3"/>
    <w:rsid w:val="003B3ECB"/>
    <w:rsid w:val="003B461A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085A"/>
    <w:rsid w:val="003D109F"/>
    <w:rsid w:val="003D1528"/>
    <w:rsid w:val="003D2478"/>
    <w:rsid w:val="003D25B4"/>
    <w:rsid w:val="003D28BA"/>
    <w:rsid w:val="003D29CD"/>
    <w:rsid w:val="003D2F71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6C90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36A"/>
    <w:rsid w:val="003F34FC"/>
    <w:rsid w:val="003F4313"/>
    <w:rsid w:val="003F5250"/>
    <w:rsid w:val="003F5B0A"/>
    <w:rsid w:val="003F6030"/>
    <w:rsid w:val="003F650B"/>
    <w:rsid w:val="003F6BBE"/>
    <w:rsid w:val="003F797E"/>
    <w:rsid w:val="003F7A24"/>
    <w:rsid w:val="003F7C46"/>
    <w:rsid w:val="004000B7"/>
    <w:rsid w:val="004000E8"/>
    <w:rsid w:val="004000EE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5D8C"/>
    <w:rsid w:val="004161FA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27E0C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0AB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C1B"/>
    <w:rsid w:val="00437DD5"/>
    <w:rsid w:val="00440761"/>
    <w:rsid w:val="00440A0A"/>
    <w:rsid w:val="0044108F"/>
    <w:rsid w:val="00441A92"/>
    <w:rsid w:val="00441B96"/>
    <w:rsid w:val="00441EB7"/>
    <w:rsid w:val="00442631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967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752"/>
    <w:rsid w:val="00491C62"/>
    <w:rsid w:val="00491CCD"/>
    <w:rsid w:val="004921CD"/>
    <w:rsid w:val="00492AE0"/>
    <w:rsid w:val="00492BC5"/>
    <w:rsid w:val="00492CF7"/>
    <w:rsid w:val="00493595"/>
    <w:rsid w:val="00494354"/>
    <w:rsid w:val="004947A2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34F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7201"/>
    <w:rsid w:val="004A74B5"/>
    <w:rsid w:val="004A7526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B7D3A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B41"/>
    <w:rsid w:val="004E540B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BAF"/>
    <w:rsid w:val="00524D47"/>
    <w:rsid w:val="00525196"/>
    <w:rsid w:val="0052673F"/>
    <w:rsid w:val="00526A4E"/>
    <w:rsid w:val="00527553"/>
    <w:rsid w:val="00527893"/>
    <w:rsid w:val="00527C56"/>
    <w:rsid w:val="005306CC"/>
    <w:rsid w:val="00530C43"/>
    <w:rsid w:val="00530E20"/>
    <w:rsid w:val="00530FAF"/>
    <w:rsid w:val="005313CA"/>
    <w:rsid w:val="00531A6C"/>
    <w:rsid w:val="00531D9C"/>
    <w:rsid w:val="00531ED1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D10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19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BC8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3BC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1BC0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1B6B"/>
    <w:rsid w:val="00582047"/>
    <w:rsid w:val="00582114"/>
    <w:rsid w:val="005821DA"/>
    <w:rsid w:val="00582809"/>
    <w:rsid w:val="00582A15"/>
    <w:rsid w:val="00582CC8"/>
    <w:rsid w:val="0058328B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06C0"/>
    <w:rsid w:val="005913D0"/>
    <w:rsid w:val="00591465"/>
    <w:rsid w:val="00591833"/>
    <w:rsid w:val="0059213D"/>
    <w:rsid w:val="00592164"/>
    <w:rsid w:val="005935A4"/>
    <w:rsid w:val="00594771"/>
    <w:rsid w:val="005948C2"/>
    <w:rsid w:val="00594B03"/>
    <w:rsid w:val="005958C6"/>
    <w:rsid w:val="00595DCA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D72"/>
    <w:rsid w:val="005A2EA1"/>
    <w:rsid w:val="005A38B4"/>
    <w:rsid w:val="005A39C7"/>
    <w:rsid w:val="005A3B62"/>
    <w:rsid w:val="005A407F"/>
    <w:rsid w:val="005A4BC3"/>
    <w:rsid w:val="005A514C"/>
    <w:rsid w:val="005A5622"/>
    <w:rsid w:val="005A5845"/>
    <w:rsid w:val="005A5D98"/>
    <w:rsid w:val="005A5EAA"/>
    <w:rsid w:val="005A662D"/>
    <w:rsid w:val="005A78AE"/>
    <w:rsid w:val="005A7CBF"/>
    <w:rsid w:val="005A7E19"/>
    <w:rsid w:val="005B1409"/>
    <w:rsid w:val="005B159C"/>
    <w:rsid w:val="005B1793"/>
    <w:rsid w:val="005B2200"/>
    <w:rsid w:val="005B2700"/>
    <w:rsid w:val="005B30A9"/>
    <w:rsid w:val="005B35D7"/>
    <w:rsid w:val="005B392A"/>
    <w:rsid w:val="005B39DE"/>
    <w:rsid w:val="005B3A71"/>
    <w:rsid w:val="005B3AA3"/>
    <w:rsid w:val="005B3D01"/>
    <w:rsid w:val="005B474F"/>
    <w:rsid w:val="005B56FD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A36"/>
    <w:rsid w:val="005C544C"/>
    <w:rsid w:val="005C562E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3546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E7CF8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14"/>
    <w:rsid w:val="005F6F5E"/>
    <w:rsid w:val="005F70BD"/>
    <w:rsid w:val="005F775A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29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5904"/>
    <w:rsid w:val="006160F2"/>
    <w:rsid w:val="006167B5"/>
    <w:rsid w:val="00616B93"/>
    <w:rsid w:val="006171BD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5D87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786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4F20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2B52"/>
    <w:rsid w:val="006634E6"/>
    <w:rsid w:val="00663DC5"/>
    <w:rsid w:val="00664395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6F7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D35"/>
    <w:rsid w:val="00682FE1"/>
    <w:rsid w:val="00683EBD"/>
    <w:rsid w:val="00683ECE"/>
    <w:rsid w:val="00683F8F"/>
    <w:rsid w:val="00684288"/>
    <w:rsid w:val="00684630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5FF"/>
    <w:rsid w:val="006A296B"/>
    <w:rsid w:val="006A30D0"/>
    <w:rsid w:val="006A34E8"/>
    <w:rsid w:val="006A3797"/>
    <w:rsid w:val="006A46FB"/>
    <w:rsid w:val="006A5664"/>
    <w:rsid w:val="006A5B61"/>
    <w:rsid w:val="006A5CE1"/>
    <w:rsid w:val="006A5E28"/>
    <w:rsid w:val="006A6183"/>
    <w:rsid w:val="006A697B"/>
    <w:rsid w:val="006A77B6"/>
    <w:rsid w:val="006A798D"/>
    <w:rsid w:val="006A7AFF"/>
    <w:rsid w:val="006A7CAA"/>
    <w:rsid w:val="006B0743"/>
    <w:rsid w:val="006B0E92"/>
    <w:rsid w:val="006B1816"/>
    <w:rsid w:val="006B1A6C"/>
    <w:rsid w:val="006B1EA8"/>
    <w:rsid w:val="006B2099"/>
    <w:rsid w:val="006B33C4"/>
    <w:rsid w:val="006B4055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2B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BB2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C11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997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62D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0E81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0DA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E2F"/>
    <w:rsid w:val="007604B2"/>
    <w:rsid w:val="00760B26"/>
    <w:rsid w:val="0076166B"/>
    <w:rsid w:val="007619EC"/>
    <w:rsid w:val="00761C6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37F2"/>
    <w:rsid w:val="007938B9"/>
    <w:rsid w:val="00793CD8"/>
    <w:rsid w:val="007941E8"/>
    <w:rsid w:val="00794370"/>
    <w:rsid w:val="00795C92"/>
    <w:rsid w:val="007961B5"/>
    <w:rsid w:val="00796231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2B47"/>
    <w:rsid w:val="007A2EB1"/>
    <w:rsid w:val="007A306F"/>
    <w:rsid w:val="007A3429"/>
    <w:rsid w:val="007A3628"/>
    <w:rsid w:val="007A395F"/>
    <w:rsid w:val="007A423E"/>
    <w:rsid w:val="007A43A6"/>
    <w:rsid w:val="007A4797"/>
    <w:rsid w:val="007A4AA7"/>
    <w:rsid w:val="007A4BAD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53E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25B0"/>
    <w:rsid w:val="007C3369"/>
    <w:rsid w:val="007C347E"/>
    <w:rsid w:val="007C384D"/>
    <w:rsid w:val="007C3D18"/>
    <w:rsid w:val="007C5959"/>
    <w:rsid w:val="007C60BF"/>
    <w:rsid w:val="007C6177"/>
    <w:rsid w:val="007C6279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0FD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6FB0"/>
    <w:rsid w:val="007E7091"/>
    <w:rsid w:val="007F082D"/>
    <w:rsid w:val="007F08CF"/>
    <w:rsid w:val="007F1D10"/>
    <w:rsid w:val="007F2C31"/>
    <w:rsid w:val="007F3D9C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800464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17989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AB4"/>
    <w:rsid w:val="00824D33"/>
    <w:rsid w:val="00825C42"/>
    <w:rsid w:val="00825D25"/>
    <w:rsid w:val="0082605F"/>
    <w:rsid w:val="00826356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5923"/>
    <w:rsid w:val="008359D5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1B9"/>
    <w:rsid w:val="00841541"/>
    <w:rsid w:val="00842BCA"/>
    <w:rsid w:val="00842FFC"/>
    <w:rsid w:val="00843099"/>
    <w:rsid w:val="008434E1"/>
    <w:rsid w:val="00843AB6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4E7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727"/>
    <w:rsid w:val="00875CD7"/>
    <w:rsid w:val="00875D66"/>
    <w:rsid w:val="00875FFA"/>
    <w:rsid w:val="00876B3E"/>
    <w:rsid w:val="00876B4D"/>
    <w:rsid w:val="00876BE1"/>
    <w:rsid w:val="0087779B"/>
    <w:rsid w:val="00877F18"/>
    <w:rsid w:val="00880AD1"/>
    <w:rsid w:val="008810FF"/>
    <w:rsid w:val="00881840"/>
    <w:rsid w:val="00881E90"/>
    <w:rsid w:val="00882F3E"/>
    <w:rsid w:val="00883062"/>
    <w:rsid w:val="00883C12"/>
    <w:rsid w:val="0088498E"/>
    <w:rsid w:val="008849D2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D21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ADE"/>
    <w:rsid w:val="008A0ED2"/>
    <w:rsid w:val="008A21FF"/>
    <w:rsid w:val="008A27A4"/>
    <w:rsid w:val="008A2CE2"/>
    <w:rsid w:val="008A30AC"/>
    <w:rsid w:val="008A44B8"/>
    <w:rsid w:val="008A48F1"/>
    <w:rsid w:val="008A49D0"/>
    <w:rsid w:val="008A4F7B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2434"/>
    <w:rsid w:val="008B2604"/>
    <w:rsid w:val="008B2972"/>
    <w:rsid w:val="008B2A89"/>
    <w:rsid w:val="008B376B"/>
    <w:rsid w:val="008B377B"/>
    <w:rsid w:val="008B37E1"/>
    <w:rsid w:val="008B39B2"/>
    <w:rsid w:val="008B4088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A16"/>
    <w:rsid w:val="008E2E1C"/>
    <w:rsid w:val="008E35A3"/>
    <w:rsid w:val="008E4B90"/>
    <w:rsid w:val="008E4E68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2DD"/>
    <w:rsid w:val="008F244C"/>
    <w:rsid w:val="008F312C"/>
    <w:rsid w:val="008F33DC"/>
    <w:rsid w:val="008F3577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0937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0E5"/>
    <w:rsid w:val="00914587"/>
    <w:rsid w:val="0091497A"/>
    <w:rsid w:val="00914AD8"/>
    <w:rsid w:val="00914EDC"/>
    <w:rsid w:val="00915512"/>
    <w:rsid w:val="00916079"/>
    <w:rsid w:val="0091686D"/>
    <w:rsid w:val="00916A78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4A3E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08F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D0A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4E13"/>
    <w:rsid w:val="00945556"/>
    <w:rsid w:val="00945AD6"/>
    <w:rsid w:val="00945C05"/>
    <w:rsid w:val="009468FF"/>
    <w:rsid w:val="00946945"/>
    <w:rsid w:val="009470C0"/>
    <w:rsid w:val="0094722D"/>
    <w:rsid w:val="0094740A"/>
    <w:rsid w:val="00947713"/>
    <w:rsid w:val="00947F1E"/>
    <w:rsid w:val="0095012A"/>
    <w:rsid w:val="00950C5E"/>
    <w:rsid w:val="00950DE7"/>
    <w:rsid w:val="00950E0F"/>
    <w:rsid w:val="00951ADD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1B"/>
    <w:rsid w:val="009620D3"/>
    <w:rsid w:val="00962905"/>
    <w:rsid w:val="009639B4"/>
    <w:rsid w:val="009640DA"/>
    <w:rsid w:val="00964278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7899"/>
    <w:rsid w:val="00967A70"/>
    <w:rsid w:val="00967C21"/>
    <w:rsid w:val="00967FE4"/>
    <w:rsid w:val="00970051"/>
    <w:rsid w:val="009704DA"/>
    <w:rsid w:val="0097054C"/>
    <w:rsid w:val="009708A3"/>
    <w:rsid w:val="00970BFB"/>
    <w:rsid w:val="00970F1D"/>
    <w:rsid w:val="00971064"/>
    <w:rsid w:val="009714E6"/>
    <w:rsid w:val="00971D73"/>
    <w:rsid w:val="00971F08"/>
    <w:rsid w:val="00972CA5"/>
    <w:rsid w:val="0097327F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D45"/>
    <w:rsid w:val="00977F53"/>
    <w:rsid w:val="009800E8"/>
    <w:rsid w:val="00980430"/>
    <w:rsid w:val="00980477"/>
    <w:rsid w:val="009806E8"/>
    <w:rsid w:val="00980B16"/>
    <w:rsid w:val="00980B60"/>
    <w:rsid w:val="00980DC4"/>
    <w:rsid w:val="009812E5"/>
    <w:rsid w:val="009818C0"/>
    <w:rsid w:val="00981BC4"/>
    <w:rsid w:val="0098286C"/>
    <w:rsid w:val="00982A71"/>
    <w:rsid w:val="00982F06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605C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823"/>
    <w:rsid w:val="009A2C07"/>
    <w:rsid w:val="009A3016"/>
    <w:rsid w:val="009A3BB6"/>
    <w:rsid w:val="009A462D"/>
    <w:rsid w:val="009A4A6C"/>
    <w:rsid w:val="009A50FE"/>
    <w:rsid w:val="009A5A1C"/>
    <w:rsid w:val="009A5C9D"/>
    <w:rsid w:val="009A5CBA"/>
    <w:rsid w:val="009A64A4"/>
    <w:rsid w:val="009A64D0"/>
    <w:rsid w:val="009A6F2F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403E"/>
    <w:rsid w:val="009C521D"/>
    <w:rsid w:val="009C5E79"/>
    <w:rsid w:val="009C605A"/>
    <w:rsid w:val="009C60FA"/>
    <w:rsid w:val="009C6D3C"/>
    <w:rsid w:val="009C6DEA"/>
    <w:rsid w:val="009C770F"/>
    <w:rsid w:val="009C781A"/>
    <w:rsid w:val="009D037C"/>
    <w:rsid w:val="009D05DA"/>
    <w:rsid w:val="009D1513"/>
    <w:rsid w:val="009D2A46"/>
    <w:rsid w:val="009D43E9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66"/>
    <w:rsid w:val="009E40BC"/>
    <w:rsid w:val="009E43A2"/>
    <w:rsid w:val="009E47A3"/>
    <w:rsid w:val="009E489F"/>
    <w:rsid w:val="009E519C"/>
    <w:rsid w:val="009E5990"/>
    <w:rsid w:val="009E5ACA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4549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2CC8"/>
    <w:rsid w:val="00A1352A"/>
    <w:rsid w:val="00A136D1"/>
    <w:rsid w:val="00A13E54"/>
    <w:rsid w:val="00A13F97"/>
    <w:rsid w:val="00A14031"/>
    <w:rsid w:val="00A141EA"/>
    <w:rsid w:val="00A14761"/>
    <w:rsid w:val="00A167D8"/>
    <w:rsid w:val="00A16B7C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351A"/>
    <w:rsid w:val="00A23B6E"/>
    <w:rsid w:val="00A23CAB"/>
    <w:rsid w:val="00A23E4D"/>
    <w:rsid w:val="00A24001"/>
    <w:rsid w:val="00A24C32"/>
    <w:rsid w:val="00A24E0D"/>
    <w:rsid w:val="00A25138"/>
    <w:rsid w:val="00A2552E"/>
    <w:rsid w:val="00A25C6A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CD9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0FBC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208"/>
    <w:rsid w:val="00A51324"/>
    <w:rsid w:val="00A51D8C"/>
    <w:rsid w:val="00A52094"/>
    <w:rsid w:val="00A520E7"/>
    <w:rsid w:val="00A52978"/>
    <w:rsid w:val="00A529F4"/>
    <w:rsid w:val="00A52E1D"/>
    <w:rsid w:val="00A52E5C"/>
    <w:rsid w:val="00A5301A"/>
    <w:rsid w:val="00A53B84"/>
    <w:rsid w:val="00A540AD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5DE7"/>
    <w:rsid w:val="00A660AC"/>
    <w:rsid w:val="00A66174"/>
    <w:rsid w:val="00A663F0"/>
    <w:rsid w:val="00A673D9"/>
    <w:rsid w:val="00A674C0"/>
    <w:rsid w:val="00A67AAA"/>
    <w:rsid w:val="00A67BDA"/>
    <w:rsid w:val="00A67E6C"/>
    <w:rsid w:val="00A7015F"/>
    <w:rsid w:val="00A706AD"/>
    <w:rsid w:val="00A708A2"/>
    <w:rsid w:val="00A711E9"/>
    <w:rsid w:val="00A71995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237"/>
    <w:rsid w:val="00A82394"/>
    <w:rsid w:val="00A824AA"/>
    <w:rsid w:val="00A845EE"/>
    <w:rsid w:val="00A84630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19C8"/>
    <w:rsid w:val="00A91A00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442A"/>
    <w:rsid w:val="00A94F02"/>
    <w:rsid w:val="00A95411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4FBE"/>
    <w:rsid w:val="00AB5608"/>
    <w:rsid w:val="00AB6034"/>
    <w:rsid w:val="00AB655E"/>
    <w:rsid w:val="00AB660A"/>
    <w:rsid w:val="00AB7997"/>
    <w:rsid w:val="00AC007F"/>
    <w:rsid w:val="00AC05FF"/>
    <w:rsid w:val="00AC06F2"/>
    <w:rsid w:val="00AC0BD9"/>
    <w:rsid w:val="00AC1260"/>
    <w:rsid w:val="00AC1D94"/>
    <w:rsid w:val="00AC2739"/>
    <w:rsid w:val="00AC2D41"/>
    <w:rsid w:val="00AC2ECD"/>
    <w:rsid w:val="00AC2EE5"/>
    <w:rsid w:val="00AC3119"/>
    <w:rsid w:val="00AC386C"/>
    <w:rsid w:val="00AC3BD8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3C8"/>
    <w:rsid w:val="00AE7A6E"/>
    <w:rsid w:val="00AE7FBF"/>
    <w:rsid w:val="00AF0FFF"/>
    <w:rsid w:val="00AF17BE"/>
    <w:rsid w:val="00AF1C5D"/>
    <w:rsid w:val="00AF3660"/>
    <w:rsid w:val="00AF388F"/>
    <w:rsid w:val="00AF3B86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0A8C"/>
    <w:rsid w:val="00B02AA9"/>
    <w:rsid w:val="00B02FA3"/>
    <w:rsid w:val="00B03093"/>
    <w:rsid w:val="00B0348E"/>
    <w:rsid w:val="00B0378F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2BD"/>
    <w:rsid w:val="00B12766"/>
    <w:rsid w:val="00B12B14"/>
    <w:rsid w:val="00B133A3"/>
    <w:rsid w:val="00B13514"/>
    <w:rsid w:val="00B13798"/>
    <w:rsid w:val="00B1393F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016"/>
    <w:rsid w:val="00B20155"/>
    <w:rsid w:val="00B20256"/>
    <w:rsid w:val="00B20D09"/>
    <w:rsid w:val="00B20F24"/>
    <w:rsid w:val="00B21260"/>
    <w:rsid w:val="00B21451"/>
    <w:rsid w:val="00B223B0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28"/>
    <w:rsid w:val="00B549F5"/>
    <w:rsid w:val="00B55186"/>
    <w:rsid w:val="00B553EF"/>
    <w:rsid w:val="00B559C8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13B9"/>
    <w:rsid w:val="00B72B31"/>
    <w:rsid w:val="00B72C97"/>
    <w:rsid w:val="00B73085"/>
    <w:rsid w:val="00B734C6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28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71B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59CF"/>
    <w:rsid w:val="00B9696B"/>
    <w:rsid w:val="00B97484"/>
    <w:rsid w:val="00B979BA"/>
    <w:rsid w:val="00B97D8F"/>
    <w:rsid w:val="00BA076A"/>
    <w:rsid w:val="00BA0D06"/>
    <w:rsid w:val="00BA21DF"/>
    <w:rsid w:val="00BA2280"/>
    <w:rsid w:val="00BA2323"/>
    <w:rsid w:val="00BA2A08"/>
    <w:rsid w:val="00BA2D58"/>
    <w:rsid w:val="00BA4DFD"/>
    <w:rsid w:val="00BA55EC"/>
    <w:rsid w:val="00BA56D2"/>
    <w:rsid w:val="00BA6ABD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6FC"/>
    <w:rsid w:val="00BB2A25"/>
    <w:rsid w:val="00BB2CFD"/>
    <w:rsid w:val="00BB32EC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D0629"/>
    <w:rsid w:val="00BD287B"/>
    <w:rsid w:val="00BD2F8B"/>
    <w:rsid w:val="00BD3851"/>
    <w:rsid w:val="00BD4127"/>
    <w:rsid w:val="00BD48AC"/>
    <w:rsid w:val="00BD4D19"/>
    <w:rsid w:val="00BD5D20"/>
    <w:rsid w:val="00BD5F1A"/>
    <w:rsid w:val="00BD7961"/>
    <w:rsid w:val="00BD79F6"/>
    <w:rsid w:val="00BD7CAF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3F80"/>
    <w:rsid w:val="00BE413D"/>
    <w:rsid w:val="00BE4835"/>
    <w:rsid w:val="00BE5160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395"/>
    <w:rsid w:val="00C20486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2E41"/>
    <w:rsid w:val="00C4351B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297"/>
    <w:rsid w:val="00C60783"/>
    <w:rsid w:val="00C60B7D"/>
    <w:rsid w:val="00C60C03"/>
    <w:rsid w:val="00C612F2"/>
    <w:rsid w:val="00C61C10"/>
    <w:rsid w:val="00C61E0B"/>
    <w:rsid w:val="00C620F6"/>
    <w:rsid w:val="00C624ED"/>
    <w:rsid w:val="00C629A4"/>
    <w:rsid w:val="00C62EDD"/>
    <w:rsid w:val="00C641A3"/>
    <w:rsid w:val="00C641CA"/>
    <w:rsid w:val="00C644BE"/>
    <w:rsid w:val="00C64672"/>
    <w:rsid w:val="00C675F9"/>
    <w:rsid w:val="00C67E54"/>
    <w:rsid w:val="00C700CB"/>
    <w:rsid w:val="00C70455"/>
    <w:rsid w:val="00C7061E"/>
    <w:rsid w:val="00C70697"/>
    <w:rsid w:val="00C7095F"/>
    <w:rsid w:val="00C71758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92F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D50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2473"/>
    <w:rsid w:val="00C927BC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BEB"/>
    <w:rsid w:val="00C94DE9"/>
    <w:rsid w:val="00C951E4"/>
    <w:rsid w:val="00C95631"/>
    <w:rsid w:val="00C95A0D"/>
    <w:rsid w:val="00C95B40"/>
    <w:rsid w:val="00C95C3E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2015"/>
    <w:rsid w:val="00CA3221"/>
    <w:rsid w:val="00CA3390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CF7"/>
    <w:rsid w:val="00CC1DED"/>
    <w:rsid w:val="00CC2011"/>
    <w:rsid w:val="00CC20AF"/>
    <w:rsid w:val="00CC235B"/>
    <w:rsid w:val="00CC23C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EE4"/>
    <w:rsid w:val="00CD2659"/>
    <w:rsid w:val="00CD2A3C"/>
    <w:rsid w:val="00CD2ED1"/>
    <w:rsid w:val="00CD337B"/>
    <w:rsid w:val="00CD3967"/>
    <w:rsid w:val="00CD3A48"/>
    <w:rsid w:val="00CD447B"/>
    <w:rsid w:val="00CD466E"/>
    <w:rsid w:val="00CD59B0"/>
    <w:rsid w:val="00CD61BF"/>
    <w:rsid w:val="00CD64A1"/>
    <w:rsid w:val="00CD7887"/>
    <w:rsid w:val="00CE0424"/>
    <w:rsid w:val="00CE097A"/>
    <w:rsid w:val="00CE0BF7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2DA"/>
    <w:rsid w:val="00CF05D4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28"/>
    <w:rsid w:val="00D0349B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1750E"/>
    <w:rsid w:val="00D20128"/>
    <w:rsid w:val="00D208EA"/>
    <w:rsid w:val="00D20A66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20B"/>
    <w:rsid w:val="00D25259"/>
    <w:rsid w:val="00D254DD"/>
    <w:rsid w:val="00D256D4"/>
    <w:rsid w:val="00D25B5D"/>
    <w:rsid w:val="00D25F52"/>
    <w:rsid w:val="00D26144"/>
    <w:rsid w:val="00D26182"/>
    <w:rsid w:val="00D261BD"/>
    <w:rsid w:val="00D26D45"/>
    <w:rsid w:val="00D30335"/>
    <w:rsid w:val="00D30F76"/>
    <w:rsid w:val="00D3105A"/>
    <w:rsid w:val="00D3106B"/>
    <w:rsid w:val="00D3112A"/>
    <w:rsid w:val="00D312B4"/>
    <w:rsid w:val="00D31363"/>
    <w:rsid w:val="00D31A95"/>
    <w:rsid w:val="00D325CC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0F1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A89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11A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4AC3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05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6D2B"/>
    <w:rsid w:val="00DB741C"/>
    <w:rsid w:val="00DB7F0A"/>
    <w:rsid w:val="00DC000D"/>
    <w:rsid w:val="00DC0408"/>
    <w:rsid w:val="00DC18D1"/>
    <w:rsid w:val="00DC1F58"/>
    <w:rsid w:val="00DC2785"/>
    <w:rsid w:val="00DC2D36"/>
    <w:rsid w:val="00DC35DC"/>
    <w:rsid w:val="00DC37E8"/>
    <w:rsid w:val="00DC410E"/>
    <w:rsid w:val="00DC42C1"/>
    <w:rsid w:val="00DC499F"/>
    <w:rsid w:val="00DC4E04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1FEA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439"/>
    <w:rsid w:val="00DE0B33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211"/>
    <w:rsid w:val="00DF2795"/>
    <w:rsid w:val="00DF323C"/>
    <w:rsid w:val="00DF37A0"/>
    <w:rsid w:val="00DF40A4"/>
    <w:rsid w:val="00DF4E01"/>
    <w:rsid w:val="00DF5085"/>
    <w:rsid w:val="00DF5B3C"/>
    <w:rsid w:val="00DF5C95"/>
    <w:rsid w:val="00DF5DE2"/>
    <w:rsid w:val="00DF74BE"/>
    <w:rsid w:val="00E00A71"/>
    <w:rsid w:val="00E00B44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75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26D9"/>
    <w:rsid w:val="00E2378F"/>
    <w:rsid w:val="00E241EE"/>
    <w:rsid w:val="00E245EE"/>
    <w:rsid w:val="00E25CCF"/>
    <w:rsid w:val="00E26167"/>
    <w:rsid w:val="00E262F2"/>
    <w:rsid w:val="00E27103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44"/>
    <w:rsid w:val="00E50D8C"/>
    <w:rsid w:val="00E51BD8"/>
    <w:rsid w:val="00E51E1A"/>
    <w:rsid w:val="00E53469"/>
    <w:rsid w:val="00E53B70"/>
    <w:rsid w:val="00E53B75"/>
    <w:rsid w:val="00E53F7D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18F"/>
    <w:rsid w:val="00E6043F"/>
    <w:rsid w:val="00E60851"/>
    <w:rsid w:val="00E60E73"/>
    <w:rsid w:val="00E6180E"/>
    <w:rsid w:val="00E621A6"/>
    <w:rsid w:val="00E628A1"/>
    <w:rsid w:val="00E62C11"/>
    <w:rsid w:val="00E63838"/>
    <w:rsid w:val="00E63C1B"/>
    <w:rsid w:val="00E642D8"/>
    <w:rsid w:val="00E64429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2EF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6C2C"/>
    <w:rsid w:val="00E873CC"/>
    <w:rsid w:val="00E87822"/>
    <w:rsid w:val="00E87C9C"/>
    <w:rsid w:val="00E90395"/>
    <w:rsid w:val="00E90E49"/>
    <w:rsid w:val="00E917F9"/>
    <w:rsid w:val="00E91B88"/>
    <w:rsid w:val="00E928E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C6C"/>
    <w:rsid w:val="00EA5CEB"/>
    <w:rsid w:val="00EA63C3"/>
    <w:rsid w:val="00EA6DC3"/>
    <w:rsid w:val="00EA70D7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960"/>
    <w:rsid w:val="00EB347C"/>
    <w:rsid w:val="00EB3F72"/>
    <w:rsid w:val="00EB4A31"/>
    <w:rsid w:val="00EB4BB5"/>
    <w:rsid w:val="00EB4EA2"/>
    <w:rsid w:val="00EB5DC6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E65"/>
    <w:rsid w:val="00ED0FA8"/>
    <w:rsid w:val="00ED1006"/>
    <w:rsid w:val="00ED11DD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9A6"/>
    <w:rsid w:val="00EE7B21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AF6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1159"/>
    <w:rsid w:val="00F01189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817"/>
    <w:rsid w:val="00F23336"/>
    <w:rsid w:val="00F2376F"/>
    <w:rsid w:val="00F238CA"/>
    <w:rsid w:val="00F243D8"/>
    <w:rsid w:val="00F249AC"/>
    <w:rsid w:val="00F24C55"/>
    <w:rsid w:val="00F24EE6"/>
    <w:rsid w:val="00F2502B"/>
    <w:rsid w:val="00F260A9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DDA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A23"/>
    <w:rsid w:val="00F41C28"/>
    <w:rsid w:val="00F41E1B"/>
    <w:rsid w:val="00F421AE"/>
    <w:rsid w:val="00F4226C"/>
    <w:rsid w:val="00F43C36"/>
    <w:rsid w:val="00F43E32"/>
    <w:rsid w:val="00F44799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7C6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4D7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A23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87C2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02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524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5A5"/>
    <w:rsid w:val="00FC011C"/>
    <w:rsid w:val="00FC0981"/>
    <w:rsid w:val="00FC31AE"/>
    <w:rsid w:val="00FC35BF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19C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52A9"/>
    <w:rsid w:val="00FD5805"/>
    <w:rsid w:val="00FD5AB5"/>
    <w:rsid w:val="00FD6026"/>
    <w:rsid w:val="00FD69C4"/>
    <w:rsid w:val="00FD6D6D"/>
    <w:rsid w:val="00FD7050"/>
    <w:rsid w:val="00FD732A"/>
    <w:rsid w:val="00FD734A"/>
    <w:rsid w:val="00FD74DB"/>
    <w:rsid w:val="00FD7660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  <w:rsid w:val="0FE342B0"/>
    <w:rsid w:val="1C4343A0"/>
    <w:rsid w:val="5DBBA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08DBED7A-4065-48C8-B6FC-5DCF2046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hAnsi="Arial"/>
      <w:spacing w:val="2"/>
      <w:lang w:val="en-US" w:eastAsia="en-US"/>
    </w:rPr>
  </w:style>
  <w:style w:type="table" w:customStyle="1" w:styleId="TableGrid4">
    <w:name w:val="Table Grid4"/>
    <w:basedOn w:val="TableNormal"/>
    <w:next w:val="TableGrid"/>
    <w:uiPriority w:val="39"/>
    <w:rsid w:val="00CD64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50D4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50D4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1_RL1/TSGR1_102-e/Docs/R1-200594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22" Type="http://schemas.microsoft.com/office/2018/08/relationships/commentsExtensible" Target="commentsExtensible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purl.org/dc/dcmitype/"/>
    <ds:schemaRef ds:uri="http://purl.org/dc/elements/1.1/"/>
    <ds:schemaRef ds:uri="http://schemas.microsoft.com/office/2006/metadata/properties"/>
    <ds:schemaRef ds:uri="d8762117-8292-4133-b1c7-eab5c6487cfd"/>
    <ds:schemaRef ds:uri="611109f9-ed58-4498-a270-1fb2086a5321"/>
    <ds:schemaRef ds:uri="http://schemas.microsoft.com/sharepoint/v4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2C941B6-9AF2-42A2-AA52-6CB55AFB4B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7D051C3-7043-43E1-8CB5-DC2FB38848FB}"/>
</file>

<file path=customXml/itemProps4.xml><?xml version="1.0" encoding="utf-8"?>
<ds:datastoreItem xmlns:ds="http://schemas.openxmlformats.org/officeDocument/2006/customXml" ds:itemID="{2FDC3416-5BE0-4DE9-9786-54C4DD04D9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EA5FA3-3E35-413A-82A1-744E3A815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455</TotalTime>
  <Pages>7</Pages>
  <Words>3191</Words>
  <Characters>15153</Characters>
  <Application>Microsoft Office Word</Application>
  <DocSecurity>0</DocSecurity>
  <Lines>126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TDoc</cp:keywords>
  <dc:description/>
  <cp:lastModifiedBy>Gerardo Agni Medina Acosta</cp:lastModifiedBy>
  <cp:revision>109</cp:revision>
  <cp:lastPrinted>2008-01-31T14:09:00Z</cp:lastPrinted>
  <dcterms:created xsi:type="dcterms:W3CDTF">2020-09-03T00:52:00Z</dcterms:created>
  <dcterms:modified xsi:type="dcterms:W3CDTF">2020-10-22T12:12:00Z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302b5e22-7bb5-42b1-9685-2b95366e14bc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TaxKeyword">
    <vt:lpwstr>212;#TDoc|af4b50c5-3c78-4293-b1bd-3e717d5b6882;#214;#3GPP|9a2d7407-05d0-42af-8d72-c0b9b807f3b0</vt:lpwstr>
  </property>
</Properties>
</file>